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60EC" w14:textId="77777777" w:rsidR="001D006D" w:rsidRPr="003F13C1" w:rsidRDefault="007A4C05" w:rsidP="007A4C05">
      <w:pPr>
        <w:spacing w:after="0" w:line="240" w:lineRule="auto"/>
        <w:ind w:left="0" w:right="0" w:firstLine="0"/>
        <w:jc w:val="right"/>
        <w:rPr>
          <w:color w:val="000000" w:themeColor="text1"/>
        </w:rPr>
      </w:pPr>
      <w:r w:rsidRPr="003F13C1">
        <w:rPr>
          <w:noProof/>
          <w:color w:val="000000" w:themeColor="text1"/>
        </w:rPr>
        <w:drawing>
          <wp:inline distT="0" distB="0" distL="0" distR="0" wp14:anchorId="18A5EBC6" wp14:editId="4DB9D4AD">
            <wp:extent cx="6907530" cy="762000"/>
            <wp:effectExtent l="0" t="0" r="762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907530" cy="762000"/>
                    </a:xfrm>
                    <a:prstGeom prst="rect">
                      <a:avLst/>
                    </a:prstGeom>
                  </pic:spPr>
                </pic:pic>
              </a:graphicData>
            </a:graphic>
          </wp:inline>
        </w:drawing>
      </w:r>
      <w:r w:rsidRPr="003F13C1">
        <w:rPr>
          <w:color w:val="000000" w:themeColor="text1"/>
        </w:rPr>
        <w:t xml:space="preserve"> </w:t>
      </w:r>
    </w:p>
    <w:p w14:paraId="24465A04" w14:textId="39F81A6E" w:rsidR="007A4C05" w:rsidRPr="003F13C1" w:rsidRDefault="007A4C05" w:rsidP="009C1F43">
      <w:pPr>
        <w:pStyle w:val="Title"/>
        <w:jc w:val="center"/>
        <w:rPr>
          <w:rFonts w:ascii="Calibri" w:hAnsi="Calibri" w:cs="Calibri"/>
          <w:b/>
          <w:bCs/>
          <w:color w:val="000000" w:themeColor="text1"/>
          <w:sz w:val="52"/>
          <w:szCs w:val="52"/>
        </w:rPr>
      </w:pPr>
      <w:r w:rsidRPr="003F13C1">
        <w:rPr>
          <w:rFonts w:ascii="Calibri" w:hAnsi="Calibri" w:cs="Calibri"/>
          <w:b/>
          <w:bCs/>
          <w:color w:val="000000" w:themeColor="text1"/>
          <w:sz w:val="52"/>
          <w:szCs w:val="52"/>
        </w:rPr>
        <w:t>Five Essential Tips for Mastering Multiple Choice Exams</w:t>
      </w:r>
    </w:p>
    <w:p w14:paraId="020657E9" w14:textId="77777777" w:rsidR="007A4C05" w:rsidRPr="003F13C1" w:rsidRDefault="007A4C05" w:rsidP="007A4C05">
      <w:pPr>
        <w:spacing w:after="0" w:line="240" w:lineRule="auto"/>
        <w:rPr>
          <w:color w:val="000000" w:themeColor="text1"/>
        </w:rPr>
      </w:pPr>
    </w:p>
    <w:p w14:paraId="4668AC85" w14:textId="77777777" w:rsidR="001D006D" w:rsidRPr="003F13C1" w:rsidRDefault="007A4C05" w:rsidP="007A4C05">
      <w:pPr>
        <w:spacing w:after="0" w:line="240" w:lineRule="auto"/>
        <w:ind w:left="-5" w:right="273"/>
        <w:rPr>
          <w:color w:val="000000" w:themeColor="text1"/>
          <w:sz w:val="24"/>
          <w:szCs w:val="28"/>
        </w:rPr>
      </w:pPr>
      <w:r w:rsidRPr="003F13C1">
        <w:rPr>
          <w:color w:val="000000" w:themeColor="text1"/>
          <w:sz w:val="24"/>
          <w:szCs w:val="28"/>
        </w:rPr>
        <w:t xml:space="preserve">Forget the old tricks of always picking “C” or choosing the longest answer those approaches won’t help you succeed on university level multiple choice exams. While thorough preparation, attending class, and consistent studying are the keys to success, how you approach the exam itself can make a big difference. Here are five practical strategies to help you tackle multiple choice questions with confidence: </w:t>
      </w:r>
    </w:p>
    <w:p w14:paraId="38AF5278" w14:textId="77777777" w:rsidR="001D006D" w:rsidRPr="003F13C1" w:rsidRDefault="007A4C05" w:rsidP="007A4C05">
      <w:pPr>
        <w:spacing w:after="0" w:line="240" w:lineRule="auto"/>
        <w:ind w:left="0" w:right="0" w:firstLine="0"/>
        <w:rPr>
          <w:color w:val="000000" w:themeColor="text1"/>
          <w:sz w:val="24"/>
          <w:szCs w:val="28"/>
        </w:rPr>
      </w:pPr>
      <w:r w:rsidRPr="003F13C1">
        <w:rPr>
          <w:color w:val="000000" w:themeColor="text1"/>
          <w:sz w:val="24"/>
          <w:szCs w:val="28"/>
        </w:rPr>
        <w:t xml:space="preserve"> </w:t>
      </w:r>
    </w:p>
    <w:p w14:paraId="38FB8B81" w14:textId="77777777" w:rsidR="001D006D" w:rsidRPr="003F13C1" w:rsidRDefault="007A4C05" w:rsidP="009C1F43">
      <w:pPr>
        <w:pStyle w:val="Heading2"/>
        <w:rPr>
          <w:rFonts w:ascii="Calibri" w:hAnsi="Calibri" w:cs="Calibri"/>
          <w:color w:val="000000" w:themeColor="text1"/>
        </w:rPr>
      </w:pPr>
      <w:r w:rsidRPr="003F13C1">
        <w:rPr>
          <w:rFonts w:ascii="Calibri" w:hAnsi="Calibri" w:cs="Calibri"/>
          <w:color w:val="000000" w:themeColor="text1"/>
        </w:rPr>
        <w:t xml:space="preserve">Read Each Question Carefully </w:t>
      </w:r>
    </w:p>
    <w:p w14:paraId="25239966" w14:textId="77777777" w:rsidR="001D006D" w:rsidRPr="003F13C1" w:rsidRDefault="007A4C05" w:rsidP="007A4C05">
      <w:pPr>
        <w:spacing w:after="0" w:line="240" w:lineRule="auto"/>
        <w:ind w:left="-5" w:right="273"/>
        <w:rPr>
          <w:color w:val="000000" w:themeColor="text1"/>
          <w:sz w:val="24"/>
          <w:szCs w:val="28"/>
        </w:rPr>
      </w:pPr>
      <w:r w:rsidRPr="003F13C1">
        <w:rPr>
          <w:color w:val="000000" w:themeColor="text1"/>
          <w:sz w:val="24"/>
          <w:szCs w:val="28"/>
        </w:rPr>
        <w:t xml:space="preserve">Pay close attention to the wording of every question. Words like </w:t>
      </w:r>
      <w:r w:rsidRPr="003F13C1">
        <w:rPr>
          <w:b/>
          <w:color w:val="000000" w:themeColor="text1"/>
          <w:sz w:val="24"/>
          <w:szCs w:val="28"/>
        </w:rPr>
        <w:t>“not,” “never,” “always,”</w:t>
      </w:r>
      <w:r w:rsidRPr="003F13C1">
        <w:rPr>
          <w:color w:val="000000" w:themeColor="text1"/>
          <w:sz w:val="24"/>
          <w:szCs w:val="28"/>
        </w:rPr>
        <w:t xml:space="preserve"> or </w:t>
      </w:r>
      <w:r w:rsidRPr="003F13C1">
        <w:rPr>
          <w:b/>
          <w:color w:val="000000" w:themeColor="text1"/>
          <w:sz w:val="24"/>
          <w:szCs w:val="28"/>
        </w:rPr>
        <w:t>“except”</w:t>
      </w:r>
      <w:r w:rsidRPr="003F13C1">
        <w:rPr>
          <w:color w:val="000000" w:themeColor="text1"/>
          <w:sz w:val="24"/>
          <w:szCs w:val="28"/>
        </w:rPr>
        <w:t xml:space="preserve"> can completely change what’s being asked. Underline or highlight these keywords so you don’t miss them. Misreading the question is one of the most common avoidable mistakes. </w:t>
      </w:r>
    </w:p>
    <w:p w14:paraId="61C0A71C" w14:textId="77777777" w:rsidR="001D006D" w:rsidRPr="003F13C1" w:rsidRDefault="007A4C05" w:rsidP="007A4C05">
      <w:pPr>
        <w:spacing w:after="0" w:line="240" w:lineRule="auto"/>
        <w:ind w:left="0" w:right="0" w:firstLine="0"/>
        <w:rPr>
          <w:color w:val="000000" w:themeColor="text1"/>
          <w:sz w:val="24"/>
          <w:szCs w:val="28"/>
        </w:rPr>
      </w:pPr>
      <w:r w:rsidRPr="003F13C1">
        <w:rPr>
          <w:color w:val="000000" w:themeColor="text1"/>
          <w:sz w:val="24"/>
          <w:szCs w:val="28"/>
        </w:rPr>
        <w:t xml:space="preserve"> </w:t>
      </w:r>
    </w:p>
    <w:p w14:paraId="36D7BAD5" w14:textId="77777777" w:rsidR="001D006D" w:rsidRPr="003F13C1" w:rsidRDefault="007A4C05" w:rsidP="009C1F43">
      <w:pPr>
        <w:pStyle w:val="Heading2"/>
        <w:rPr>
          <w:rFonts w:ascii="Calibri" w:hAnsi="Calibri" w:cs="Calibri"/>
          <w:color w:val="000000" w:themeColor="text1"/>
        </w:rPr>
      </w:pPr>
      <w:r w:rsidRPr="003F13C1">
        <w:rPr>
          <w:rFonts w:ascii="Calibri" w:hAnsi="Calibri" w:cs="Calibri"/>
          <w:color w:val="000000" w:themeColor="text1"/>
        </w:rPr>
        <w:t xml:space="preserve">Try to Answer Before Looking at the Choices </w:t>
      </w:r>
    </w:p>
    <w:p w14:paraId="0D27592B" w14:textId="77777777" w:rsidR="001D006D" w:rsidRPr="003F13C1" w:rsidRDefault="007A4C05" w:rsidP="007A4C05">
      <w:pPr>
        <w:spacing w:after="0" w:line="240" w:lineRule="auto"/>
        <w:ind w:left="-5" w:right="273"/>
        <w:rPr>
          <w:color w:val="000000" w:themeColor="text1"/>
          <w:sz w:val="24"/>
          <w:szCs w:val="28"/>
        </w:rPr>
      </w:pPr>
      <w:r w:rsidRPr="003F13C1">
        <w:rPr>
          <w:color w:val="000000" w:themeColor="text1"/>
          <w:sz w:val="24"/>
          <w:szCs w:val="28"/>
        </w:rPr>
        <w:t xml:space="preserve">Before you look at the given options, take a moment to come up with your own answer. Then compare your idea to the provided choices and look for the one that matches your thinking. This helps you avoid being misled by tricky or confusing distractors. </w:t>
      </w:r>
    </w:p>
    <w:p w14:paraId="39948DA7" w14:textId="77777777" w:rsidR="001D006D" w:rsidRPr="003F13C1" w:rsidRDefault="007A4C05" w:rsidP="007A4C05">
      <w:pPr>
        <w:spacing w:after="0" w:line="240" w:lineRule="auto"/>
        <w:ind w:left="0" w:right="0" w:firstLine="0"/>
        <w:rPr>
          <w:color w:val="000000" w:themeColor="text1"/>
          <w:sz w:val="24"/>
          <w:szCs w:val="28"/>
        </w:rPr>
      </w:pPr>
      <w:r w:rsidRPr="003F13C1">
        <w:rPr>
          <w:color w:val="000000" w:themeColor="text1"/>
          <w:sz w:val="24"/>
          <w:szCs w:val="28"/>
        </w:rPr>
        <w:t xml:space="preserve"> </w:t>
      </w:r>
    </w:p>
    <w:p w14:paraId="130B2101" w14:textId="77777777" w:rsidR="001D006D" w:rsidRPr="003F13C1" w:rsidRDefault="007A4C05" w:rsidP="009C1F43">
      <w:pPr>
        <w:pStyle w:val="Heading2"/>
        <w:rPr>
          <w:rFonts w:ascii="Calibri" w:hAnsi="Calibri" w:cs="Calibri"/>
          <w:color w:val="000000" w:themeColor="text1"/>
        </w:rPr>
      </w:pPr>
      <w:r w:rsidRPr="003F13C1">
        <w:rPr>
          <w:rFonts w:ascii="Calibri" w:hAnsi="Calibri" w:cs="Calibri"/>
          <w:color w:val="000000" w:themeColor="text1"/>
        </w:rPr>
        <w:t xml:space="preserve">Eliminate Clearly Wrong Answers </w:t>
      </w:r>
    </w:p>
    <w:p w14:paraId="2CFDD4F8" w14:textId="77777777" w:rsidR="001D006D" w:rsidRPr="003F13C1" w:rsidRDefault="007A4C05" w:rsidP="007A4C05">
      <w:pPr>
        <w:spacing w:after="0" w:line="240" w:lineRule="auto"/>
        <w:ind w:left="-5" w:right="273"/>
        <w:rPr>
          <w:color w:val="000000" w:themeColor="text1"/>
          <w:sz w:val="24"/>
          <w:szCs w:val="28"/>
        </w:rPr>
      </w:pPr>
      <w:r w:rsidRPr="003F13C1">
        <w:rPr>
          <w:color w:val="000000" w:themeColor="text1"/>
          <w:sz w:val="24"/>
          <w:szCs w:val="28"/>
        </w:rPr>
        <w:t xml:space="preserve">If you’re unsure, start by crossing out answers you know are incorrect. This increases your chances of picking the right one. If you’re left with two choices, reread the question carefully and reconsider the key terms. It’s okay to skip and come back later if you’re stuck. </w:t>
      </w:r>
    </w:p>
    <w:p w14:paraId="20DFEB03" w14:textId="77777777" w:rsidR="001D006D" w:rsidRPr="003F13C1" w:rsidRDefault="007A4C05" w:rsidP="007A4C05">
      <w:pPr>
        <w:spacing w:after="0" w:line="240" w:lineRule="auto"/>
        <w:ind w:left="0" w:right="0" w:firstLine="0"/>
        <w:rPr>
          <w:color w:val="000000" w:themeColor="text1"/>
          <w:sz w:val="24"/>
          <w:szCs w:val="28"/>
        </w:rPr>
      </w:pPr>
      <w:r w:rsidRPr="003F13C1">
        <w:rPr>
          <w:color w:val="000000" w:themeColor="text1"/>
          <w:sz w:val="24"/>
          <w:szCs w:val="28"/>
        </w:rPr>
        <w:t xml:space="preserve"> </w:t>
      </w:r>
    </w:p>
    <w:p w14:paraId="49479F6A" w14:textId="77777777" w:rsidR="001D006D" w:rsidRPr="003F13C1" w:rsidRDefault="007A4C05" w:rsidP="009C1F43">
      <w:pPr>
        <w:pStyle w:val="Heading2"/>
        <w:rPr>
          <w:rFonts w:ascii="Calibri" w:hAnsi="Calibri" w:cs="Calibri"/>
          <w:color w:val="000000" w:themeColor="text1"/>
        </w:rPr>
      </w:pPr>
      <w:r w:rsidRPr="003F13C1">
        <w:rPr>
          <w:rFonts w:ascii="Calibri" w:hAnsi="Calibri" w:cs="Calibri"/>
          <w:color w:val="000000" w:themeColor="text1"/>
        </w:rPr>
        <w:t xml:space="preserve">Answer Every Question </w:t>
      </w:r>
    </w:p>
    <w:p w14:paraId="5BBB90BB" w14:textId="77777777" w:rsidR="001D006D" w:rsidRPr="003F13C1" w:rsidRDefault="007A4C05" w:rsidP="007A4C05">
      <w:pPr>
        <w:spacing w:after="0" w:line="240" w:lineRule="auto"/>
        <w:ind w:left="-5" w:right="273"/>
        <w:rPr>
          <w:color w:val="000000" w:themeColor="text1"/>
          <w:sz w:val="24"/>
          <w:szCs w:val="28"/>
        </w:rPr>
      </w:pPr>
      <w:r w:rsidRPr="003F13C1">
        <w:rPr>
          <w:color w:val="000000" w:themeColor="text1"/>
          <w:sz w:val="24"/>
          <w:szCs w:val="28"/>
        </w:rPr>
        <w:t xml:space="preserve">Never leave a question blank. Even if you’re uncertain, take your best guess. Unanswered questions guarantee zero marks, but an educated guess gives you a shot at picking up points. If you’re unsure, mark the question and return to it after completing the easier ones. </w:t>
      </w:r>
    </w:p>
    <w:p w14:paraId="45AC2D00" w14:textId="77777777" w:rsidR="001D006D" w:rsidRPr="003F13C1" w:rsidRDefault="007A4C05" w:rsidP="007A4C05">
      <w:pPr>
        <w:spacing w:after="0" w:line="240" w:lineRule="auto"/>
        <w:ind w:left="0" w:right="0" w:firstLine="0"/>
        <w:rPr>
          <w:color w:val="000000" w:themeColor="text1"/>
          <w:sz w:val="24"/>
          <w:szCs w:val="28"/>
        </w:rPr>
      </w:pPr>
      <w:r w:rsidRPr="003F13C1">
        <w:rPr>
          <w:color w:val="000000" w:themeColor="text1"/>
          <w:sz w:val="24"/>
          <w:szCs w:val="28"/>
        </w:rPr>
        <w:t xml:space="preserve"> </w:t>
      </w:r>
    </w:p>
    <w:p w14:paraId="79473562" w14:textId="77777777" w:rsidR="001D006D" w:rsidRPr="003F13C1" w:rsidRDefault="007A4C05" w:rsidP="009C1F43">
      <w:pPr>
        <w:pStyle w:val="Heading2"/>
        <w:rPr>
          <w:rFonts w:ascii="Calibri" w:hAnsi="Calibri" w:cs="Calibri"/>
          <w:color w:val="000000" w:themeColor="text1"/>
        </w:rPr>
      </w:pPr>
      <w:r w:rsidRPr="003F13C1">
        <w:rPr>
          <w:rFonts w:ascii="Calibri" w:hAnsi="Calibri" w:cs="Calibri"/>
          <w:color w:val="000000" w:themeColor="text1"/>
        </w:rPr>
        <w:t xml:space="preserve">Watch the Clock </w:t>
      </w:r>
    </w:p>
    <w:p w14:paraId="3BD7EF61" w14:textId="77777777" w:rsidR="001D006D" w:rsidRPr="003F13C1" w:rsidRDefault="007A4C05" w:rsidP="007A4C05">
      <w:pPr>
        <w:spacing w:after="0" w:line="240" w:lineRule="auto"/>
        <w:ind w:left="-5" w:right="273"/>
        <w:rPr>
          <w:color w:val="000000" w:themeColor="text1"/>
          <w:sz w:val="24"/>
          <w:szCs w:val="28"/>
        </w:rPr>
      </w:pPr>
      <w:r w:rsidRPr="003F13C1">
        <w:rPr>
          <w:color w:val="000000" w:themeColor="text1"/>
          <w:sz w:val="24"/>
          <w:szCs w:val="28"/>
        </w:rPr>
        <w:t xml:space="preserve">Keep track of your time so you can complete the entire exam and have time left for review. For example, if you have 60 minutes and 50 questions, aim to finish answering in 50 minutes, leaving the final 10 minutes to double-check your answers and fill in your response sheet. </w:t>
      </w:r>
    </w:p>
    <w:p w14:paraId="660742F7" w14:textId="77777777" w:rsidR="001D006D" w:rsidRPr="003F13C1" w:rsidRDefault="007A4C05" w:rsidP="007A4C05">
      <w:pPr>
        <w:spacing w:after="0" w:line="240" w:lineRule="auto"/>
        <w:ind w:left="0" w:right="0" w:firstLine="0"/>
        <w:rPr>
          <w:color w:val="000000" w:themeColor="text1"/>
          <w:sz w:val="24"/>
          <w:szCs w:val="28"/>
        </w:rPr>
      </w:pPr>
      <w:r w:rsidRPr="003F13C1">
        <w:rPr>
          <w:color w:val="000000" w:themeColor="text1"/>
          <w:sz w:val="24"/>
          <w:szCs w:val="28"/>
        </w:rPr>
        <w:t xml:space="preserve"> </w:t>
      </w:r>
    </w:p>
    <w:p w14:paraId="2B0E72C6" w14:textId="1312859A" w:rsidR="007A4C05" w:rsidRPr="003F13C1" w:rsidRDefault="007A4C05" w:rsidP="009C1F43">
      <w:pPr>
        <w:pStyle w:val="Heading2"/>
        <w:rPr>
          <w:rFonts w:ascii="Calibri" w:hAnsi="Calibri" w:cs="Calibri"/>
          <w:color w:val="000000" w:themeColor="text1"/>
        </w:rPr>
      </w:pPr>
      <w:r w:rsidRPr="003F13C1">
        <w:rPr>
          <w:rFonts w:ascii="Calibri" w:hAnsi="Calibri" w:cs="Calibri"/>
          <w:color w:val="000000" w:themeColor="text1"/>
        </w:rPr>
        <w:t>References</w:t>
      </w:r>
    </w:p>
    <w:p w14:paraId="7B5A7DC7" w14:textId="24E965AA" w:rsidR="007A4C05" w:rsidRPr="003F13C1" w:rsidRDefault="007A4C05" w:rsidP="007A4C05">
      <w:pPr>
        <w:pStyle w:val="ListParagraph"/>
        <w:numPr>
          <w:ilvl w:val="0"/>
          <w:numId w:val="2"/>
        </w:numPr>
        <w:spacing w:after="0" w:line="240" w:lineRule="auto"/>
        <w:ind w:right="0"/>
        <w:rPr>
          <w:color w:val="000000" w:themeColor="text1"/>
        </w:rPr>
      </w:pPr>
      <w:r w:rsidRPr="003F13C1">
        <w:rPr>
          <w:color w:val="000000" w:themeColor="text1"/>
        </w:rPr>
        <w:t xml:space="preserve">Bruno, J. E. (1989). Using test-wiseness strategies to improve student performance. </w:t>
      </w:r>
      <w:r w:rsidRPr="003F13C1">
        <w:rPr>
          <w:i/>
          <w:iCs/>
          <w:color w:val="000000" w:themeColor="text1"/>
        </w:rPr>
        <w:t>NASSP Bulletin, 73</w:t>
      </w:r>
      <w:r w:rsidRPr="003F13C1">
        <w:rPr>
          <w:color w:val="000000" w:themeColor="text1"/>
        </w:rPr>
        <w:t>(516), 102–106. https://doi.org/10.1177/019263658907351619</w:t>
      </w:r>
    </w:p>
    <w:p w14:paraId="6B702E00" w14:textId="77777777" w:rsidR="007A4C05" w:rsidRPr="003F13C1" w:rsidRDefault="007A4C05" w:rsidP="007A4C05">
      <w:pPr>
        <w:pStyle w:val="ListParagraph"/>
        <w:numPr>
          <w:ilvl w:val="0"/>
          <w:numId w:val="2"/>
        </w:numPr>
        <w:spacing w:after="0" w:line="240" w:lineRule="auto"/>
        <w:ind w:right="0"/>
        <w:rPr>
          <w:color w:val="000000" w:themeColor="text1"/>
        </w:rPr>
      </w:pPr>
      <w:r w:rsidRPr="003F13C1">
        <w:rPr>
          <w:color w:val="000000" w:themeColor="text1"/>
        </w:rPr>
        <w:t xml:space="preserve">Cizek, G. J., &amp; Burg, S. S. (2006). Addressing test anxiety in a high-stakes environment: Strategies for classrooms and schools. </w:t>
      </w:r>
      <w:r w:rsidRPr="003F13C1">
        <w:rPr>
          <w:i/>
          <w:iCs/>
          <w:color w:val="000000" w:themeColor="text1"/>
        </w:rPr>
        <w:t>Corwin Press.</w:t>
      </w:r>
    </w:p>
    <w:p w14:paraId="45063803" w14:textId="77777777" w:rsidR="007A4C05" w:rsidRPr="003F13C1" w:rsidRDefault="007A4C05" w:rsidP="007A4C05">
      <w:pPr>
        <w:pStyle w:val="ListParagraph"/>
        <w:numPr>
          <w:ilvl w:val="0"/>
          <w:numId w:val="2"/>
        </w:numPr>
        <w:spacing w:after="0" w:line="240" w:lineRule="auto"/>
        <w:ind w:right="0"/>
        <w:rPr>
          <w:color w:val="000000" w:themeColor="text1"/>
        </w:rPr>
      </w:pPr>
      <w:r w:rsidRPr="003F13C1">
        <w:rPr>
          <w:color w:val="000000" w:themeColor="text1"/>
        </w:rPr>
        <w:t xml:space="preserve">Tindal, G., &amp; Nolet, V. (1995). </w:t>
      </w:r>
      <w:r w:rsidRPr="003F13C1">
        <w:rPr>
          <w:i/>
          <w:iCs/>
          <w:color w:val="000000" w:themeColor="text1"/>
        </w:rPr>
        <w:t>Curriculum-based measurement in middle and high schools: Critical skills for students with and without disabilities.</w:t>
      </w:r>
      <w:r w:rsidRPr="003F13C1">
        <w:rPr>
          <w:color w:val="000000" w:themeColor="text1"/>
        </w:rPr>
        <w:t xml:space="preserve"> Merrill.</w:t>
      </w:r>
    </w:p>
    <w:p w14:paraId="67AB6F1E" w14:textId="5BCC3B27" w:rsidR="007A4C05" w:rsidRPr="003F13C1" w:rsidRDefault="007A4C05" w:rsidP="007A4C05">
      <w:pPr>
        <w:pStyle w:val="ListParagraph"/>
        <w:numPr>
          <w:ilvl w:val="0"/>
          <w:numId w:val="2"/>
        </w:numPr>
        <w:spacing w:after="0" w:line="240" w:lineRule="auto"/>
        <w:ind w:right="0"/>
        <w:rPr>
          <w:color w:val="000000" w:themeColor="text1"/>
        </w:rPr>
      </w:pPr>
      <w:proofErr w:type="spellStart"/>
      <w:r w:rsidRPr="003F13C1">
        <w:rPr>
          <w:color w:val="000000" w:themeColor="text1"/>
        </w:rPr>
        <w:lastRenderedPageBreak/>
        <w:t>Haladyna</w:t>
      </w:r>
      <w:proofErr w:type="spellEnd"/>
      <w:r w:rsidRPr="003F13C1">
        <w:rPr>
          <w:color w:val="000000" w:themeColor="text1"/>
        </w:rPr>
        <w:t xml:space="preserve">, T. M., Downing, S. M., &amp; Rodriguez, M. C. (2002). A review of multiple-choice item-writing guidelines for classroom assessment. </w:t>
      </w:r>
      <w:r w:rsidRPr="003F13C1">
        <w:rPr>
          <w:i/>
          <w:iCs/>
          <w:color w:val="000000" w:themeColor="text1"/>
        </w:rPr>
        <w:t>Applied Measurement in Education, 15</w:t>
      </w:r>
      <w:r w:rsidRPr="003F13C1">
        <w:rPr>
          <w:color w:val="000000" w:themeColor="text1"/>
        </w:rPr>
        <w:t>(3), 309–334. https://doi.org/10.1207/S15324818AME1503_5</w:t>
      </w:r>
    </w:p>
    <w:p w14:paraId="36D2AF2F" w14:textId="40971728" w:rsidR="007A4C05" w:rsidRPr="003F13C1" w:rsidRDefault="007A4C05" w:rsidP="007A4C05">
      <w:pPr>
        <w:pStyle w:val="ListParagraph"/>
        <w:numPr>
          <w:ilvl w:val="0"/>
          <w:numId w:val="2"/>
        </w:numPr>
        <w:spacing w:after="0" w:line="240" w:lineRule="auto"/>
        <w:ind w:right="0"/>
        <w:rPr>
          <w:color w:val="000000" w:themeColor="text1"/>
        </w:rPr>
      </w:pPr>
      <w:r w:rsidRPr="003F13C1">
        <w:rPr>
          <w:color w:val="000000" w:themeColor="text1"/>
        </w:rPr>
        <w:t xml:space="preserve">Roediger, H. L., &amp; Butler, A. C. (2011). The critical role of retrieval practice in long-term retention. </w:t>
      </w:r>
      <w:r w:rsidRPr="003F13C1">
        <w:rPr>
          <w:i/>
          <w:iCs/>
          <w:color w:val="000000" w:themeColor="text1"/>
        </w:rPr>
        <w:t>Trends in Cognitive Sciences, 15</w:t>
      </w:r>
      <w:r w:rsidRPr="003F13C1">
        <w:rPr>
          <w:color w:val="000000" w:themeColor="text1"/>
        </w:rPr>
        <w:t>(1), 20–27. https://doi.org/10.1016/j.tics.2010.09.003</w:t>
      </w:r>
    </w:p>
    <w:p w14:paraId="7D44806B" w14:textId="77777777" w:rsidR="007A4C05" w:rsidRPr="003F13C1" w:rsidRDefault="007A4C05" w:rsidP="007A4C05">
      <w:pPr>
        <w:spacing w:after="0" w:line="240" w:lineRule="auto"/>
        <w:ind w:left="0" w:right="0" w:firstLine="0"/>
        <w:rPr>
          <w:color w:val="000000" w:themeColor="text1"/>
          <w:sz w:val="24"/>
          <w:szCs w:val="28"/>
        </w:rPr>
      </w:pPr>
    </w:p>
    <w:p w14:paraId="3FA0D8B2" w14:textId="58F571DE" w:rsidR="001D006D" w:rsidRPr="003F13C1" w:rsidRDefault="001D006D" w:rsidP="007A4C05">
      <w:pPr>
        <w:spacing w:after="0" w:line="240" w:lineRule="auto"/>
        <w:ind w:left="0" w:right="313" w:firstLine="0"/>
        <w:jc w:val="right"/>
        <w:rPr>
          <w:color w:val="000000" w:themeColor="text1"/>
        </w:rPr>
      </w:pPr>
    </w:p>
    <w:sectPr w:rsidR="001D006D" w:rsidRPr="003F13C1" w:rsidSect="007A4C05">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889C" w14:textId="77777777" w:rsidR="009C1F43" w:rsidRDefault="009C1F43" w:rsidP="009C1F43">
      <w:pPr>
        <w:spacing w:after="0" w:line="240" w:lineRule="auto"/>
      </w:pPr>
      <w:r>
        <w:separator/>
      </w:r>
    </w:p>
  </w:endnote>
  <w:endnote w:type="continuationSeparator" w:id="0">
    <w:p w14:paraId="43AFC367" w14:textId="77777777" w:rsidR="009C1F43" w:rsidRDefault="009C1F43" w:rsidP="009C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5A37" w14:textId="45BB51F1" w:rsidR="009C1F43" w:rsidRPr="00922C38" w:rsidRDefault="00922C38" w:rsidP="00922C38">
    <w:pPr>
      <w:pStyle w:val="Footer"/>
      <w:jc w:val="right"/>
      <w:rPr>
        <w:lang w:val="en-US"/>
      </w:rPr>
    </w:pPr>
    <w:r>
      <w:rPr>
        <w:lang w:val="en-US"/>
      </w:rPr>
      <w:t>Updated: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E0E8A" w14:textId="77777777" w:rsidR="009C1F43" w:rsidRDefault="009C1F43" w:rsidP="009C1F43">
      <w:pPr>
        <w:spacing w:after="0" w:line="240" w:lineRule="auto"/>
      </w:pPr>
      <w:r>
        <w:separator/>
      </w:r>
    </w:p>
  </w:footnote>
  <w:footnote w:type="continuationSeparator" w:id="0">
    <w:p w14:paraId="5CDC9BF8" w14:textId="77777777" w:rsidR="009C1F43" w:rsidRDefault="009C1F43" w:rsidP="009C1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30928"/>
    <w:multiLevelType w:val="hybridMultilevel"/>
    <w:tmpl w:val="E416AA90"/>
    <w:lvl w:ilvl="0" w:tplc="DD440C74">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3D429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7080D2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0769D6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D448E5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86EDCC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AB6DD0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E85D2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EF83BB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990A2F"/>
    <w:multiLevelType w:val="hybridMultilevel"/>
    <w:tmpl w:val="9C061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7730232">
    <w:abstractNumId w:val="0"/>
  </w:num>
  <w:num w:numId="2" w16cid:durableId="23378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6D"/>
    <w:rsid w:val="00003422"/>
    <w:rsid w:val="00075A66"/>
    <w:rsid w:val="001D006D"/>
    <w:rsid w:val="0029207B"/>
    <w:rsid w:val="003F13C1"/>
    <w:rsid w:val="007A4C05"/>
    <w:rsid w:val="00922C38"/>
    <w:rsid w:val="009C1F43"/>
    <w:rsid w:val="00EC60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AAEA"/>
  <w15:docId w15:val="{DAAE977E-0575-4F12-B7BD-BA5DB5FE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right="195"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
      </w:numPr>
      <w:spacing w:after="159" w:line="259" w:lineRule="auto"/>
      <w:ind w:left="1930" w:hanging="10"/>
      <w:outlineLvl w:val="0"/>
    </w:pPr>
    <w:rPr>
      <w:rFonts w:ascii="Calibri" w:eastAsia="Calibri" w:hAnsi="Calibri" w:cs="Calibri"/>
      <w:b/>
      <w:color w:val="000000"/>
      <w:sz w:val="22"/>
    </w:rPr>
  </w:style>
  <w:style w:type="paragraph" w:styleId="Heading2">
    <w:name w:val="heading 2"/>
    <w:basedOn w:val="Normal"/>
    <w:next w:val="Normal"/>
    <w:link w:val="Heading2Char"/>
    <w:uiPriority w:val="9"/>
    <w:unhideWhenUsed/>
    <w:qFormat/>
    <w:rsid w:val="009C1F4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7A4C05"/>
    <w:pPr>
      <w:ind w:left="720"/>
      <w:contextualSpacing/>
    </w:pPr>
  </w:style>
  <w:style w:type="paragraph" w:styleId="Title">
    <w:name w:val="Title"/>
    <w:basedOn w:val="Normal"/>
    <w:next w:val="Normal"/>
    <w:link w:val="TitleChar"/>
    <w:uiPriority w:val="10"/>
    <w:qFormat/>
    <w:rsid w:val="009C1F4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C1F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C1F43"/>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9C1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43"/>
    <w:rPr>
      <w:rFonts w:ascii="Calibri" w:eastAsia="Calibri" w:hAnsi="Calibri" w:cs="Calibri"/>
      <w:color w:val="000000"/>
      <w:sz w:val="22"/>
    </w:rPr>
  </w:style>
  <w:style w:type="paragraph" w:styleId="Footer">
    <w:name w:val="footer"/>
    <w:basedOn w:val="Normal"/>
    <w:link w:val="FooterChar"/>
    <w:uiPriority w:val="99"/>
    <w:unhideWhenUsed/>
    <w:rsid w:val="009C1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4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703569">
      <w:bodyDiv w:val="1"/>
      <w:marLeft w:val="0"/>
      <w:marRight w:val="0"/>
      <w:marTop w:val="0"/>
      <w:marBottom w:val="0"/>
      <w:divBdr>
        <w:top w:val="none" w:sz="0" w:space="0" w:color="auto"/>
        <w:left w:val="none" w:sz="0" w:space="0" w:color="auto"/>
        <w:bottom w:val="none" w:sz="0" w:space="0" w:color="auto"/>
        <w:right w:val="none" w:sz="0" w:space="0" w:color="auto"/>
      </w:divBdr>
    </w:div>
    <w:div w:id="1597249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6F6239BB-F9FE-48DD-9093-B6D887EFCAD8}">
  <ds:schemaRefs>
    <ds:schemaRef ds:uri="http://schemas.openxmlformats.org/officeDocument/2006/bibliography"/>
  </ds:schemaRefs>
</ds:datastoreItem>
</file>

<file path=customXml/itemProps2.xml><?xml version="1.0" encoding="utf-8"?>
<ds:datastoreItem xmlns:ds="http://schemas.openxmlformats.org/officeDocument/2006/customXml" ds:itemID="{8928477A-DBA2-49CB-929E-D4B17B21C6BD}"/>
</file>

<file path=customXml/itemProps3.xml><?xml version="1.0" encoding="utf-8"?>
<ds:datastoreItem xmlns:ds="http://schemas.openxmlformats.org/officeDocument/2006/customXml" ds:itemID="{AADE3938-7585-45F9-9ECD-68D8773BDFA2}"/>
</file>

<file path=customXml/itemProps4.xml><?xml version="1.0" encoding="utf-8"?>
<ds:datastoreItem xmlns:ds="http://schemas.openxmlformats.org/officeDocument/2006/customXml" ds:itemID="{53E512B9-30A6-4A78-8257-39BC5EA7C29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Messenger</dc:creator>
  <cp:keywords/>
  <cp:lastModifiedBy>Brittany Messenger</cp:lastModifiedBy>
  <cp:revision>2</cp:revision>
  <cp:lastPrinted>2025-07-22T20:07:00Z</cp:lastPrinted>
  <dcterms:created xsi:type="dcterms:W3CDTF">2025-07-22T20:11:00Z</dcterms:created>
  <dcterms:modified xsi:type="dcterms:W3CDTF">2025-07-22T20:11:00Z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