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0C00E" w14:textId="316D6F40" w:rsidR="5E0060AD" w:rsidRDefault="5E0060AD" w:rsidP="00803AC3">
      <w:pPr>
        <w:pStyle w:val="Title"/>
        <w:jc w:val="center"/>
        <w:rPr>
          <w:b/>
          <w:bCs/>
        </w:rPr>
      </w:pPr>
      <w:r w:rsidRPr="50C58CC0">
        <w:rPr>
          <w:rFonts w:eastAsia="Calibri"/>
        </w:rPr>
        <w:t>Managing Test Anxiety: Tips &amp; Strategies for Success</w:t>
      </w:r>
    </w:p>
    <w:p w14:paraId="7CCE7782" w14:textId="5F543FD7" w:rsidR="5E0060AD" w:rsidRDefault="5E0060AD" w:rsidP="50C58CC0">
      <w:pPr>
        <w:spacing w:after="0" w:line="240" w:lineRule="auto"/>
      </w:pPr>
      <w:r w:rsidRPr="50C58CC0">
        <w:rPr>
          <w:rFonts w:ascii="Calibri" w:eastAsia="Calibri" w:hAnsi="Calibri" w:cs="Calibri"/>
        </w:rPr>
        <w:t>Feeling anxious before or during an exam is a common experience, but it can be managed with preparation, positive self-talk, and effective regulation techniques. These strategies are rooted in research from educational psychology and stress management.</w:t>
      </w:r>
    </w:p>
    <w:p w14:paraId="7B409A6B" w14:textId="38F69F46" w:rsidR="50C58CC0" w:rsidRDefault="50C58CC0" w:rsidP="50C58CC0">
      <w:pPr>
        <w:pStyle w:val="Heading3"/>
        <w:keepNext w:val="0"/>
        <w:keepLines w:val="0"/>
        <w:spacing w:before="0" w:after="0" w:line="240" w:lineRule="auto"/>
        <w:rPr>
          <w:rFonts w:ascii="Calibri" w:eastAsia="Calibri" w:hAnsi="Calibri" w:cs="Calibri"/>
          <w:b/>
          <w:bCs/>
        </w:rPr>
      </w:pPr>
    </w:p>
    <w:p w14:paraId="2D2DD082" w14:textId="47F54808" w:rsidR="5E0060AD" w:rsidRDefault="5E0060AD" w:rsidP="00803AC3">
      <w:pPr>
        <w:pStyle w:val="Heading1"/>
      </w:pPr>
      <w:r w:rsidRPr="50C58CC0">
        <w:rPr>
          <w:rFonts w:eastAsia="Calibri"/>
        </w:rPr>
        <w:t>1. Prepare Early</w:t>
      </w:r>
    </w:p>
    <w:p w14:paraId="6CD0CA04" w14:textId="1C655876" w:rsidR="5E0060AD" w:rsidRDefault="5E0060AD" w:rsidP="50C58CC0">
      <w:pPr>
        <w:spacing w:after="0" w:line="240" w:lineRule="auto"/>
      </w:pPr>
      <w:r w:rsidRPr="50C58CC0">
        <w:rPr>
          <w:rFonts w:ascii="Calibri" w:eastAsia="Calibri" w:hAnsi="Calibri" w:cs="Calibri"/>
        </w:rPr>
        <w:t>Begin reviewing course material at least three weeks before the test. Space out your study sessions and use active recall strategies like practice tests and self-quizzing to build confidence and memory (</w:t>
      </w:r>
      <w:proofErr w:type="spellStart"/>
      <w:r w:rsidRPr="50C58CC0">
        <w:rPr>
          <w:rFonts w:ascii="Calibri" w:eastAsia="Calibri" w:hAnsi="Calibri" w:cs="Calibri"/>
        </w:rPr>
        <w:t>Dunlosky</w:t>
      </w:r>
      <w:proofErr w:type="spellEnd"/>
      <w:r w:rsidRPr="50C58CC0">
        <w:rPr>
          <w:rFonts w:ascii="Calibri" w:eastAsia="Calibri" w:hAnsi="Calibri" w:cs="Calibri"/>
        </w:rPr>
        <w:t xml:space="preserve"> et al., 2013).</w:t>
      </w:r>
    </w:p>
    <w:p w14:paraId="475CD738" w14:textId="7F212F6D" w:rsidR="50C58CC0" w:rsidRDefault="50C58CC0" w:rsidP="50C58CC0">
      <w:pPr>
        <w:pStyle w:val="Heading3"/>
        <w:keepNext w:val="0"/>
        <w:keepLines w:val="0"/>
        <w:spacing w:before="0" w:after="0" w:line="240" w:lineRule="auto"/>
        <w:rPr>
          <w:rFonts w:ascii="Calibri" w:eastAsia="Calibri" w:hAnsi="Calibri" w:cs="Calibri"/>
          <w:b/>
          <w:bCs/>
        </w:rPr>
      </w:pPr>
    </w:p>
    <w:p w14:paraId="50D87759" w14:textId="36471419" w:rsidR="5E0060AD" w:rsidRDefault="5E0060AD" w:rsidP="00803AC3">
      <w:pPr>
        <w:pStyle w:val="Heading1"/>
      </w:pPr>
      <w:r w:rsidRPr="50C58CC0">
        <w:rPr>
          <w:rFonts w:eastAsia="Calibri"/>
        </w:rPr>
        <w:t>2. Support Your Body to Support Your Brain</w:t>
      </w:r>
    </w:p>
    <w:p w14:paraId="566D67E3" w14:textId="55FD32B3" w:rsidR="5E0060AD" w:rsidRDefault="5E0060AD" w:rsidP="50C58CC0">
      <w:pPr>
        <w:spacing w:after="0" w:line="240" w:lineRule="auto"/>
      </w:pPr>
      <w:r w:rsidRPr="50C58CC0">
        <w:rPr>
          <w:rFonts w:ascii="Calibri" w:eastAsia="Calibri" w:hAnsi="Calibri" w:cs="Calibri"/>
        </w:rPr>
        <w:t>Maintain a healthy routine: aim for 7–8 hours of sleep, eat protein-rich and balanced meals, stay hydrated, and make time for movement. These habits improve focus, reduce anxiety, and support brain function (Putnam et al., 2016).</w:t>
      </w:r>
    </w:p>
    <w:p w14:paraId="43C1B376" w14:textId="159919DB" w:rsidR="50C58CC0" w:rsidRDefault="50C58CC0" w:rsidP="50C58CC0">
      <w:pPr>
        <w:pStyle w:val="Heading3"/>
        <w:keepNext w:val="0"/>
        <w:keepLines w:val="0"/>
        <w:spacing w:before="0" w:after="0" w:line="240" w:lineRule="auto"/>
        <w:rPr>
          <w:rFonts w:ascii="Calibri" w:eastAsia="Calibri" w:hAnsi="Calibri" w:cs="Calibri"/>
          <w:b/>
          <w:bCs/>
        </w:rPr>
      </w:pPr>
    </w:p>
    <w:p w14:paraId="73D2ADCF" w14:textId="5C53739C" w:rsidR="5E0060AD" w:rsidRDefault="5E0060AD" w:rsidP="00803AC3">
      <w:pPr>
        <w:pStyle w:val="Heading1"/>
      </w:pPr>
      <w:r w:rsidRPr="50C58CC0">
        <w:rPr>
          <w:rFonts w:eastAsia="Calibri"/>
        </w:rPr>
        <w:t>3. Use Positive Self-Talk</w:t>
      </w:r>
    </w:p>
    <w:p w14:paraId="5C597D23" w14:textId="40CBEE86" w:rsidR="5E0060AD" w:rsidRDefault="5E0060AD" w:rsidP="00803AC3">
      <w:pPr>
        <w:pStyle w:val="Heading2"/>
      </w:pPr>
      <w:r w:rsidRPr="50C58CC0">
        <w:rPr>
          <w:rFonts w:eastAsia="Calibri"/>
        </w:rPr>
        <w:t>Replace anxious thoughts with affirming ones:</w:t>
      </w:r>
    </w:p>
    <w:p w14:paraId="3041CAC6" w14:textId="77777777" w:rsidR="006C4AEF" w:rsidRDefault="5E0060AD" w:rsidP="00803AC3">
      <w:pPr>
        <w:pStyle w:val="ListParagraph"/>
        <w:numPr>
          <w:ilvl w:val="0"/>
          <w:numId w:val="6"/>
        </w:numPr>
        <w:spacing w:after="0" w:line="240" w:lineRule="auto"/>
      </w:pPr>
      <w:r w:rsidRPr="00803AC3">
        <w:rPr>
          <w:rFonts w:ascii="Calibri" w:eastAsia="Calibri" w:hAnsi="Calibri" w:cs="Calibri"/>
        </w:rPr>
        <w:t>“I’ve prepared thoroughly. I can do this.”</w:t>
      </w:r>
    </w:p>
    <w:p w14:paraId="670F71DB" w14:textId="0ECED804" w:rsidR="5E0060AD" w:rsidRDefault="5E0060AD" w:rsidP="00803AC3">
      <w:pPr>
        <w:pStyle w:val="ListParagraph"/>
        <w:numPr>
          <w:ilvl w:val="0"/>
          <w:numId w:val="6"/>
        </w:numPr>
        <w:spacing w:after="0" w:line="240" w:lineRule="auto"/>
      </w:pPr>
      <w:r w:rsidRPr="00803AC3">
        <w:rPr>
          <w:rFonts w:ascii="Calibri" w:eastAsia="Calibri" w:hAnsi="Calibri" w:cs="Calibri"/>
        </w:rPr>
        <w:t>Positive self-talk and cognitive reframing help regulate anxiety and improve performance (Zimmerman, 2002).</w:t>
      </w:r>
    </w:p>
    <w:p w14:paraId="42D0694E" w14:textId="67C9637E" w:rsidR="50C58CC0" w:rsidRDefault="50C58CC0" w:rsidP="50C58CC0">
      <w:pPr>
        <w:pStyle w:val="Heading3"/>
        <w:keepNext w:val="0"/>
        <w:keepLines w:val="0"/>
        <w:spacing w:before="0" w:after="0" w:line="240" w:lineRule="auto"/>
        <w:rPr>
          <w:rFonts w:ascii="Calibri" w:eastAsia="Calibri" w:hAnsi="Calibri" w:cs="Calibri"/>
          <w:b/>
          <w:bCs/>
        </w:rPr>
      </w:pPr>
    </w:p>
    <w:p w14:paraId="39B54124" w14:textId="2A7E9B9A" w:rsidR="5E0060AD" w:rsidRDefault="5E0060AD" w:rsidP="006C4AEF">
      <w:pPr>
        <w:pStyle w:val="Heading1"/>
      </w:pPr>
      <w:r w:rsidRPr="50C58CC0">
        <w:rPr>
          <w:rFonts w:eastAsia="Calibri"/>
        </w:rPr>
        <w:t>4. Plan the Night Before</w:t>
      </w:r>
    </w:p>
    <w:p w14:paraId="6DCA0896" w14:textId="070271A3" w:rsidR="5E0060AD" w:rsidRDefault="5E0060AD" w:rsidP="50C58CC0">
      <w:pPr>
        <w:spacing w:after="0" w:line="240" w:lineRule="auto"/>
      </w:pPr>
      <w:r w:rsidRPr="50C58CC0">
        <w:rPr>
          <w:rFonts w:ascii="Calibri" w:eastAsia="Calibri" w:hAnsi="Calibri" w:cs="Calibri"/>
        </w:rPr>
        <w:t>Set out everything you’ll need: pens, pencils, student ID, calculator, water bottle, etc. Double-check the exam time and location. Set multiple alarms if needed. Then give yourself at least an hour to unwind before sleep.</w:t>
      </w:r>
    </w:p>
    <w:p w14:paraId="219B45C8" w14:textId="0DA330AD" w:rsidR="50C58CC0" w:rsidRDefault="50C58CC0" w:rsidP="50C58CC0">
      <w:pPr>
        <w:pStyle w:val="Heading3"/>
        <w:keepNext w:val="0"/>
        <w:keepLines w:val="0"/>
        <w:spacing w:before="0" w:after="0" w:line="240" w:lineRule="auto"/>
        <w:rPr>
          <w:rFonts w:ascii="Calibri" w:eastAsia="Calibri" w:hAnsi="Calibri" w:cs="Calibri"/>
          <w:b/>
          <w:bCs/>
        </w:rPr>
      </w:pPr>
    </w:p>
    <w:p w14:paraId="4CE15260" w14:textId="61B55616" w:rsidR="5E0060AD" w:rsidRDefault="5E0060AD" w:rsidP="006C4AEF">
      <w:pPr>
        <w:pStyle w:val="Heading1"/>
      </w:pPr>
      <w:r w:rsidRPr="50C58CC0">
        <w:rPr>
          <w:rFonts w:eastAsia="Calibri"/>
        </w:rPr>
        <w:t>5. Arrive Calm and Focused</w:t>
      </w:r>
    </w:p>
    <w:p w14:paraId="047D4F03" w14:textId="098278CA" w:rsidR="5E0060AD" w:rsidRDefault="5E0060AD" w:rsidP="50C58CC0">
      <w:pPr>
        <w:spacing w:after="0" w:line="240" w:lineRule="auto"/>
      </w:pPr>
      <w:r w:rsidRPr="50C58CC0">
        <w:rPr>
          <w:rFonts w:ascii="Calibri" w:eastAsia="Calibri" w:hAnsi="Calibri" w:cs="Calibri"/>
        </w:rPr>
        <w:t>Aim to arrive on time—but not too early, which can fuel nervous conversations. Avoid discussing the exam content with others. If others are anxious, distance yourself and use calming techniques like slow breathing.</w:t>
      </w:r>
    </w:p>
    <w:p w14:paraId="47E8A9E2" w14:textId="232302AC" w:rsidR="50C58CC0" w:rsidRDefault="50C58CC0" w:rsidP="50C58CC0">
      <w:pPr>
        <w:pStyle w:val="Heading3"/>
        <w:keepNext w:val="0"/>
        <w:keepLines w:val="0"/>
        <w:spacing w:before="0" w:after="0" w:line="240" w:lineRule="auto"/>
        <w:rPr>
          <w:rFonts w:ascii="Calibri" w:eastAsia="Calibri" w:hAnsi="Calibri" w:cs="Calibri"/>
          <w:b/>
          <w:bCs/>
        </w:rPr>
      </w:pPr>
    </w:p>
    <w:p w14:paraId="09E8C0F3" w14:textId="77D08A31" w:rsidR="5E0060AD" w:rsidRDefault="5E0060AD" w:rsidP="006C4AEF">
      <w:pPr>
        <w:pStyle w:val="Heading1"/>
      </w:pPr>
      <w:r w:rsidRPr="50C58CC0">
        <w:rPr>
          <w:rFonts w:eastAsia="Calibri"/>
        </w:rPr>
        <w:t>6. Choose a Good Seat</w:t>
      </w:r>
    </w:p>
    <w:p w14:paraId="504E78F3" w14:textId="6A5BBC2D" w:rsidR="5E0060AD" w:rsidRDefault="5E0060AD" w:rsidP="50C58CC0">
      <w:pPr>
        <w:spacing w:after="0" w:line="240" w:lineRule="auto"/>
      </w:pPr>
      <w:r w:rsidRPr="50C58CC0">
        <w:rPr>
          <w:rFonts w:ascii="Calibri" w:eastAsia="Calibri" w:hAnsi="Calibri" w:cs="Calibri"/>
        </w:rPr>
        <w:t>Pick a seat where you’re least likely to be distracted. Once seated, begin deep breathing or grounding strategies to steady your mind (Roediger &amp; Karpicke, 2006).</w:t>
      </w:r>
    </w:p>
    <w:p w14:paraId="19E0BCD0" w14:textId="02006382" w:rsidR="50C58CC0" w:rsidRDefault="50C58CC0" w:rsidP="50C58CC0">
      <w:pPr>
        <w:pStyle w:val="Heading3"/>
        <w:keepNext w:val="0"/>
        <w:keepLines w:val="0"/>
        <w:spacing w:before="0" w:after="0" w:line="240" w:lineRule="auto"/>
        <w:rPr>
          <w:rFonts w:ascii="Calibri" w:eastAsia="Calibri" w:hAnsi="Calibri" w:cs="Calibri"/>
          <w:b/>
          <w:bCs/>
        </w:rPr>
      </w:pPr>
    </w:p>
    <w:p w14:paraId="3A19A26C" w14:textId="159993BA" w:rsidR="5E0060AD" w:rsidRDefault="5E0060AD" w:rsidP="006C4AEF">
      <w:pPr>
        <w:pStyle w:val="Heading1"/>
      </w:pPr>
      <w:r w:rsidRPr="50C58CC0">
        <w:rPr>
          <w:rFonts w:eastAsia="Calibri"/>
        </w:rPr>
        <w:lastRenderedPageBreak/>
        <w:t>7. Read Carefully and Focus</w:t>
      </w:r>
    </w:p>
    <w:p w14:paraId="4C17B464" w14:textId="53EB80BB" w:rsidR="5E0060AD" w:rsidRDefault="5E0060AD" w:rsidP="50C58CC0">
      <w:pPr>
        <w:spacing w:after="0" w:line="240" w:lineRule="auto"/>
      </w:pPr>
      <w:r w:rsidRPr="50C58CC0">
        <w:rPr>
          <w:rFonts w:ascii="Calibri" w:eastAsia="Calibri" w:hAnsi="Calibri" w:cs="Calibri"/>
        </w:rPr>
        <w:t>Take time to read all instructions and skim the entire exam to strategize how to use your time. Begin with the questions you’re most confident about to build momentum.</w:t>
      </w:r>
    </w:p>
    <w:p w14:paraId="66BD7097" w14:textId="4F80ECF3" w:rsidR="50C58CC0" w:rsidRDefault="50C58CC0" w:rsidP="50C58CC0">
      <w:pPr>
        <w:pStyle w:val="Heading3"/>
        <w:keepNext w:val="0"/>
        <w:keepLines w:val="0"/>
        <w:spacing w:before="0" w:after="0" w:line="240" w:lineRule="auto"/>
        <w:rPr>
          <w:rFonts w:ascii="Calibri" w:eastAsia="Calibri" w:hAnsi="Calibri" w:cs="Calibri"/>
          <w:b/>
          <w:bCs/>
        </w:rPr>
      </w:pPr>
    </w:p>
    <w:p w14:paraId="3A97BB22" w14:textId="3F503A1D" w:rsidR="5E0060AD" w:rsidRDefault="5E0060AD" w:rsidP="006C4AEF">
      <w:pPr>
        <w:pStyle w:val="Heading1"/>
      </w:pPr>
      <w:r w:rsidRPr="50C58CC0">
        <w:rPr>
          <w:rFonts w:eastAsia="Calibri"/>
        </w:rPr>
        <w:t>8. If You Go Blank… Pause</w:t>
      </w:r>
    </w:p>
    <w:p w14:paraId="641BCD49" w14:textId="53EF70D1" w:rsidR="5E0060AD" w:rsidRDefault="5E0060AD" w:rsidP="50C58CC0">
      <w:pPr>
        <w:spacing w:after="0" w:line="240" w:lineRule="auto"/>
      </w:pPr>
      <w:r w:rsidRPr="50C58CC0">
        <w:rPr>
          <w:rFonts w:ascii="Calibri" w:eastAsia="Calibri" w:hAnsi="Calibri" w:cs="Calibri"/>
        </w:rPr>
        <w:t>If your mind goes blank or you feel overwhelmed, stop. Take 3–5 deep breaths, stretch your arms, or press your feet firmly into the ground (Wieman et al., 2010). Then return to the question or move on and revisit it later.</w:t>
      </w:r>
    </w:p>
    <w:p w14:paraId="3A4C2CF2" w14:textId="11BBDB40" w:rsidR="50C58CC0" w:rsidRDefault="50C58CC0" w:rsidP="50C58CC0">
      <w:pPr>
        <w:pStyle w:val="Heading3"/>
        <w:keepNext w:val="0"/>
        <w:keepLines w:val="0"/>
        <w:spacing w:before="0" w:after="0" w:line="240" w:lineRule="auto"/>
        <w:rPr>
          <w:rFonts w:ascii="Calibri" w:eastAsia="Calibri" w:hAnsi="Calibri" w:cs="Calibri"/>
          <w:b/>
          <w:bCs/>
        </w:rPr>
      </w:pPr>
    </w:p>
    <w:p w14:paraId="7408889F" w14:textId="07C15973" w:rsidR="5E0060AD" w:rsidRDefault="5E0060AD" w:rsidP="006C4AEF">
      <w:pPr>
        <w:pStyle w:val="Heading1"/>
      </w:pPr>
      <w:r w:rsidRPr="50C58CC0">
        <w:rPr>
          <w:rFonts w:eastAsia="Calibri"/>
        </w:rPr>
        <w:t>9. Progress Is What Matters</w:t>
      </w:r>
    </w:p>
    <w:p w14:paraId="1626C60B" w14:textId="5F26026D" w:rsidR="5E0060AD" w:rsidRDefault="5E0060AD" w:rsidP="50C58CC0">
      <w:pPr>
        <w:spacing w:after="0" w:line="240" w:lineRule="auto"/>
      </w:pPr>
      <w:r w:rsidRPr="50C58CC0">
        <w:rPr>
          <w:rFonts w:ascii="Calibri" w:eastAsia="Calibri" w:hAnsi="Calibri" w:cs="Calibri"/>
        </w:rPr>
        <w:t>Even if the exam is harder than expected, stay focused and do your best. Partial answers can still earn marks. Keep moving forward.</w:t>
      </w:r>
    </w:p>
    <w:p w14:paraId="581EA7D2" w14:textId="6683F44C" w:rsidR="50C58CC0" w:rsidRDefault="50C58CC0" w:rsidP="50C58CC0">
      <w:pPr>
        <w:pStyle w:val="Heading3"/>
        <w:keepNext w:val="0"/>
        <w:keepLines w:val="0"/>
        <w:spacing w:before="0" w:after="0" w:line="240" w:lineRule="auto"/>
        <w:rPr>
          <w:rFonts w:ascii="Calibri" w:eastAsia="Calibri" w:hAnsi="Calibri" w:cs="Calibri"/>
          <w:b/>
          <w:bCs/>
        </w:rPr>
      </w:pPr>
    </w:p>
    <w:p w14:paraId="42420C68" w14:textId="760B44E6" w:rsidR="5E0060AD" w:rsidRDefault="5E0060AD" w:rsidP="006C4AEF">
      <w:pPr>
        <w:pStyle w:val="Heading1"/>
      </w:pPr>
      <w:r w:rsidRPr="50C58CC0">
        <w:rPr>
          <w:rFonts w:eastAsia="Calibri"/>
        </w:rPr>
        <w:t>10. Celebrate Afterwards</w:t>
      </w:r>
    </w:p>
    <w:p w14:paraId="7105DA99" w14:textId="4D7A1B95" w:rsidR="5E0060AD" w:rsidRDefault="5E0060AD" w:rsidP="50C58CC0">
      <w:pPr>
        <w:spacing w:after="0" w:line="240" w:lineRule="auto"/>
      </w:pPr>
      <w:r w:rsidRPr="50C58CC0">
        <w:rPr>
          <w:rFonts w:ascii="Calibri" w:eastAsia="Calibri" w:hAnsi="Calibri" w:cs="Calibri"/>
        </w:rPr>
        <w:t>Give yourself credit for your effort. Whether it’s your favorite snack, a walk, or relaxing music—treat yourself for making it through.</w:t>
      </w:r>
    </w:p>
    <w:p w14:paraId="1792B165" w14:textId="404C1246" w:rsidR="50C58CC0" w:rsidRDefault="50C58CC0" w:rsidP="50C58CC0">
      <w:pPr>
        <w:spacing w:after="0" w:line="240" w:lineRule="auto"/>
        <w:rPr>
          <w:rFonts w:ascii="Calibri" w:eastAsia="Calibri" w:hAnsi="Calibri" w:cs="Calibri"/>
          <w:b/>
          <w:bCs/>
        </w:rPr>
      </w:pPr>
    </w:p>
    <w:p w14:paraId="2D095613" w14:textId="4007F096" w:rsidR="5E0060AD" w:rsidRDefault="5E0060AD" w:rsidP="50C58CC0">
      <w:pPr>
        <w:spacing w:after="0" w:line="240" w:lineRule="auto"/>
      </w:pPr>
      <w:r w:rsidRPr="006C4AEF">
        <w:rPr>
          <w:rStyle w:val="Heading1Char"/>
        </w:rPr>
        <w:t>Optional Resource:</w:t>
      </w:r>
      <w:r>
        <w:br/>
      </w:r>
      <w:r w:rsidRPr="50C58CC0">
        <w:rPr>
          <w:rFonts w:ascii="Calibri" w:eastAsia="Calibri" w:hAnsi="Calibri" w:cs="Calibri"/>
        </w:rPr>
        <w:t xml:space="preserve"> Watch Amy Cuddy’s </w:t>
      </w:r>
      <w:r w:rsidRPr="50C58CC0">
        <w:rPr>
          <w:rFonts w:ascii="Calibri" w:eastAsia="Calibri" w:hAnsi="Calibri" w:cs="Calibri"/>
          <w:i/>
          <w:iCs/>
        </w:rPr>
        <w:t>Power Pose</w:t>
      </w:r>
      <w:r w:rsidRPr="50C58CC0">
        <w:rPr>
          <w:rFonts w:ascii="Calibri" w:eastAsia="Calibri" w:hAnsi="Calibri" w:cs="Calibri"/>
        </w:rPr>
        <w:t xml:space="preserve"> video on how body posture can impact confidence and reduce stress before a high-stakes situation like an exam:</w:t>
      </w:r>
      <w:r>
        <w:br/>
      </w:r>
      <w:r w:rsidRPr="50C58CC0">
        <w:rPr>
          <w:rFonts w:ascii="Calibri" w:eastAsia="Calibri" w:hAnsi="Calibri" w:cs="Calibri"/>
        </w:rPr>
        <w:t>Your Body Language May Shape Who You Are – TED Talk</w:t>
      </w:r>
    </w:p>
    <w:p w14:paraId="55FC7DD8" w14:textId="448F759A" w:rsidR="50C58CC0" w:rsidRDefault="50C58CC0" w:rsidP="50C58CC0">
      <w:pPr>
        <w:spacing w:after="0" w:line="240" w:lineRule="auto"/>
      </w:pPr>
    </w:p>
    <w:p w14:paraId="5EB1674E" w14:textId="48DFDC4C" w:rsidR="50C58CC0" w:rsidRDefault="50C58CC0" w:rsidP="50C58CC0">
      <w:pPr>
        <w:pStyle w:val="Heading3"/>
        <w:keepNext w:val="0"/>
        <w:keepLines w:val="0"/>
        <w:spacing w:before="0" w:after="0" w:line="240" w:lineRule="auto"/>
        <w:rPr>
          <w:rFonts w:ascii="Calibri" w:eastAsia="Calibri" w:hAnsi="Calibri" w:cs="Calibri"/>
          <w:b/>
          <w:bCs/>
        </w:rPr>
      </w:pPr>
    </w:p>
    <w:p w14:paraId="4974AE77" w14:textId="24264BA8" w:rsidR="50C58CC0" w:rsidRDefault="50C58CC0" w:rsidP="50C58CC0">
      <w:pPr>
        <w:pStyle w:val="Heading3"/>
        <w:keepNext w:val="0"/>
        <w:keepLines w:val="0"/>
        <w:spacing w:before="0" w:after="0" w:line="240" w:lineRule="auto"/>
        <w:rPr>
          <w:rFonts w:ascii="Calibri" w:eastAsia="Calibri" w:hAnsi="Calibri" w:cs="Calibri"/>
          <w:b/>
          <w:bCs/>
        </w:rPr>
      </w:pPr>
    </w:p>
    <w:p w14:paraId="253CD1B5" w14:textId="3434B0F9" w:rsidR="50C58CC0" w:rsidRDefault="50C58CC0" w:rsidP="50C58CC0">
      <w:pPr>
        <w:pStyle w:val="Heading3"/>
        <w:keepNext w:val="0"/>
        <w:keepLines w:val="0"/>
        <w:spacing w:before="0" w:after="0" w:line="240" w:lineRule="auto"/>
        <w:rPr>
          <w:rFonts w:ascii="Calibri" w:eastAsia="Calibri" w:hAnsi="Calibri" w:cs="Calibri"/>
          <w:b/>
          <w:bCs/>
        </w:rPr>
      </w:pPr>
    </w:p>
    <w:p w14:paraId="3E81FD20" w14:textId="2CAC5318" w:rsidR="50C58CC0" w:rsidRDefault="50C58CC0" w:rsidP="50C58CC0">
      <w:pPr>
        <w:pStyle w:val="Heading3"/>
        <w:keepNext w:val="0"/>
        <w:keepLines w:val="0"/>
        <w:spacing w:before="0" w:after="0" w:line="240" w:lineRule="auto"/>
        <w:rPr>
          <w:rFonts w:ascii="Calibri" w:eastAsia="Calibri" w:hAnsi="Calibri" w:cs="Calibri"/>
          <w:b/>
          <w:bCs/>
        </w:rPr>
      </w:pPr>
    </w:p>
    <w:p w14:paraId="27725DB2" w14:textId="17EAF290" w:rsidR="5E0060AD" w:rsidRDefault="5E0060AD" w:rsidP="006C4AEF">
      <w:pPr>
        <w:pStyle w:val="Heading2"/>
      </w:pPr>
      <w:r w:rsidRPr="50C58CC0">
        <w:rPr>
          <w:rFonts w:eastAsia="Calibri"/>
        </w:rPr>
        <w:t>References</w:t>
      </w:r>
    </w:p>
    <w:p w14:paraId="5E53782E" w14:textId="1ABDD8A5" w:rsidR="5E0060AD" w:rsidRDefault="5E0060AD" w:rsidP="50C58CC0">
      <w:pPr>
        <w:pStyle w:val="ListParagraph"/>
        <w:numPr>
          <w:ilvl w:val="0"/>
          <w:numId w:val="1"/>
        </w:numPr>
        <w:spacing w:after="0" w:line="240" w:lineRule="auto"/>
        <w:rPr>
          <w:rFonts w:ascii="Calibri" w:eastAsia="Calibri" w:hAnsi="Calibri" w:cs="Calibri"/>
        </w:rPr>
      </w:pPr>
      <w:proofErr w:type="spellStart"/>
      <w:r w:rsidRPr="50C58CC0">
        <w:rPr>
          <w:rFonts w:ascii="Calibri" w:eastAsia="Calibri" w:hAnsi="Calibri" w:cs="Calibri"/>
        </w:rPr>
        <w:t>Dunlosky</w:t>
      </w:r>
      <w:proofErr w:type="spellEnd"/>
      <w:r w:rsidRPr="50C58CC0">
        <w:rPr>
          <w:rFonts w:ascii="Calibri" w:eastAsia="Calibri" w:hAnsi="Calibri" w:cs="Calibri"/>
        </w:rPr>
        <w:t xml:space="preserve">, J., Rawson, K. A., Marsh, E. J., Nathan, M. J., &amp; Willingham, D. T. (2013). Improving students’ learning with effective learning techniques: Promising directions from cognitive and educational psychology. </w:t>
      </w:r>
      <w:r w:rsidRPr="50C58CC0">
        <w:rPr>
          <w:rFonts w:ascii="Calibri" w:eastAsia="Calibri" w:hAnsi="Calibri" w:cs="Calibri"/>
          <w:i/>
          <w:iCs/>
        </w:rPr>
        <w:t>Psychological Science in the Public Interest</w:t>
      </w:r>
      <w:r w:rsidRPr="50C58CC0">
        <w:rPr>
          <w:rFonts w:ascii="Calibri" w:eastAsia="Calibri" w:hAnsi="Calibri" w:cs="Calibri"/>
        </w:rPr>
        <w:t xml:space="preserve">, 14(1), 4–58. </w:t>
      </w:r>
      <w:hyperlink r:id="rId10">
        <w:r w:rsidRPr="50C58CC0">
          <w:rPr>
            <w:rStyle w:val="Hyperlink"/>
            <w:rFonts w:ascii="Calibri" w:eastAsia="Calibri" w:hAnsi="Calibri" w:cs="Calibri"/>
          </w:rPr>
          <w:t>https://doi.org/10.1177/1529100612453266</w:t>
        </w:r>
      </w:hyperlink>
    </w:p>
    <w:p w14:paraId="4A68304F" w14:textId="3D3383BA" w:rsidR="5E0060AD" w:rsidRDefault="5E0060AD" w:rsidP="50C58CC0">
      <w:pPr>
        <w:pStyle w:val="ListParagraph"/>
        <w:numPr>
          <w:ilvl w:val="0"/>
          <w:numId w:val="1"/>
        </w:numPr>
        <w:spacing w:after="0" w:line="240" w:lineRule="auto"/>
        <w:rPr>
          <w:rFonts w:ascii="Calibri" w:eastAsia="Calibri" w:hAnsi="Calibri" w:cs="Calibri"/>
        </w:rPr>
      </w:pPr>
      <w:r w:rsidRPr="50C58CC0">
        <w:rPr>
          <w:rFonts w:ascii="Calibri" w:eastAsia="Calibri" w:hAnsi="Calibri" w:cs="Calibri"/>
        </w:rPr>
        <w:t xml:space="preserve">Putnam, A. L., </w:t>
      </w:r>
      <w:proofErr w:type="spellStart"/>
      <w:r w:rsidRPr="50C58CC0">
        <w:rPr>
          <w:rFonts w:ascii="Calibri" w:eastAsia="Calibri" w:hAnsi="Calibri" w:cs="Calibri"/>
        </w:rPr>
        <w:t>Sungkhasettee</w:t>
      </w:r>
      <w:proofErr w:type="spellEnd"/>
      <w:r w:rsidRPr="50C58CC0">
        <w:rPr>
          <w:rFonts w:ascii="Calibri" w:eastAsia="Calibri" w:hAnsi="Calibri" w:cs="Calibri"/>
        </w:rPr>
        <w:t xml:space="preserve">, V. W., &amp; Roediger, H. L. (2016). Optimizing learning in college: Tips from cognitive psychology. </w:t>
      </w:r>
      <w:r w:rsidRPr="50C58CC0">
        <w:rPr>
          <w:rFonts w:ascii="Calibri" w:eastAsia="Calibri" w:hAnsi="Calibri" w:cs="Calibri"/>
          <w:i/>
          <w:iCs/>
        </w:rPr>
        <w:t>Perspectives on Psychological Science</w:t>
      </w:r>
      <w:r w:rsidRPr="50C58CC0">
        <w:rPr>
          <w:rFonts w:ascii="Calibri" w:eastAsia="Calibri" w:hAnsi="Calibri" w:cs="Calibri"/>
        </w:rPr>
        <w:t xml:space="preserve">, 11(5), 652–660. </w:t>
      </w:r>
      <w:hyperlink r:id="rId11">
        <w:r w:rsidRPr="50C58CC0">
          <w:rPr>
            <w:rStyle w:val="Hyperlink"/>
            <w:rFonts w:ascii="Calibri" w:eastAsia="Calibri" w:hAnsi="Calibri" w:cs="Calibri"/>
          </w:rPr>
          <w:t>https://doi.org/10.1177/1745691616645770</w:t>
        </w:r>
      </w:hyperlink>
    </w:p>
    <w:p w14:paraId="015B8A18" w14:textId="5E741331" w:rsidR="5E0060AD" w:rsidRDefault="5E0060AD" w:rsidP="50C58CC0">
      <w:pPr>
        <w:pStyle w:val="ListParagraph"/>
        <w:numPr>
          <w:ilvl w:val="0"/>
          <w:numId w:val="1"/>
        </w:numPr>
        <w:spacing w:after="0" w:line="240" w:lineRule="auto"/>
        <w:rPr>
          <w:rFonts w:ascii="Calibri" w:eastAsia="Calibri" w:hAnsi="Calibri" w:cs="Calibri"/>
        </w:rPr>
      </w:pPr>
      <w:r w:rsidRPr="50C58CC0">
        <w:rPr>
          <w:rFonts w:ascii="Calibri" w:eastAsia="Calibri" w:hAnsi="Calibri" w:cs="Calibri"/>
        </w:rPr>
        <w:t xml:space="preserve">Roediger, H. L., &amp; Karpicke, J. D. (2006). Test-enhanced learning: Taking memory tests improves long-term retention. </w:t>
      </w:r>
      <w:r w:rsidRPr="50C58CC0">
        <w:rPr>
          <w:rFonts w:ascii="Calibri" w:eastAsia="Calibri" w:hAnsi="Calibri" w:cs="Calibri"/>
          <w:i/>
          <w:iCs/>
        </w:rPr>
        <w:t>Psychological Science</w:t>
      </w:r>
      <w:r w:rsidRPr="50C58CC0">
        <w:rPr>
          <w:rFonts w:ascii="Calibri" w:eastAsia="Calibri" w:hAnsi="Calibri" w:cs="Calibri"/>
        </w:rPr>
        <w:t xml:space="preserve">, 17(3), 249–255. </w:t>
      </w:r>
      <w:hyperlink r:id="rId12">
        <w:r w:rsidRPr="50C58CC0">
          <w:rPr>
            <w:rStyle w:val="Hyperlink"/>
            <w:rFonts w:ascii="Calibri" w:eastAsia="Calibri" w:hAnsi="Calibri" w:cs="Calibri"/>
          </w:rPr>
          <w:t>https://doi.org/10.1111/j.1467-9280.2006.01693.x</w:t>
        </w:r>
      </w:hyperlink>
    </w:p>
    <w:p w14:paraId="45BC166E" w14:textId="5F056754" w:rsidR="5E0060AD" w:rsidRDefault="5E0060AD" w:rsidP="50C58CC0">
      <w:pPr>
        <w:pStyle w:val="ListParagraph"/>
        <w:numPr>
          <w:ilvl w:val="0"/>
          <w:numId w:val="1"/>
        </w:numPr>
        <w:spacing w:after="0" w:line="240" w:lineRule="auto"/>
        <w:rPr>
          <w:rFonts w:ascii="Calibri" w:eastAsia="Calibri" w:hAnsi="Calibri" w:cs="Calibri"/>
        </w:rPr>
      </w:pPr>
      <w:r w:rsidRPr="50C58CC0">
        <w:rPr>
          <w:rFonts w:ascii="Calibri" w:eastAsia="Calibri" w:hAnsi="Calibri" w:cs="Calibri"/>
        </w:rPr>
        <w:t xml:space="preserve">Wieman, C., Perkins, K., &amp; Gilbert, S. (2010). Transforming science education at large research universities: A case study in progress. </w:t>
      </w:r>
      <w:r w:rsidRPr="50C58CC0">
        <w:rPr>
          <w:rFonts w:ascii="Calibri" w:eastAsia="Calibri" w:hAnsi="Calibri" w:cs="Calibri"/>
          <w:i/>
          <w:iCs/>
        </w:rPr>
        <w:t>Change: The Magazine of Higher Learning</w:t>
      </w:r>
      <w:r w:rsidRPr="50C58CC0">
        <w:rPr>
          <w:rFonts w:ascii="Calibri" w:eastAsia="Calibri" w:hAnsi="Calibri" w:cs="Calibri"/>
        </w:rPr>
        <w:t xml:space="preserve">, 42(2), 6–14. </w:t>
      </w:r>
      <w:hyperlink r:id="rId13">
        <w:r w:rsidRPr="50C58CC0">
          <w:rPr>
            <w:rStyle w:val="Hyperlink"/>
            <w:rFonts w:ascii="Calibri" w:eastAsia="Calibri" w:hAnsi="Calibri" w:cs="Calibri"/>
          </w:rPr>
          <w:t>https://doi.org/10.1080/00091381003590897</w:t>
        </w:r>
      </w:hyperlink>
    </w:p>
    <w:p w14:paraId="5F32DBB6" w14:textId="11D06A47" w:rsidR="5E0060AD" w:rsidRDefault="5E0060AD" w:rsidP="50C58CC0">
      <w:pPr>
        <w:pStyle w:val="ListParagraph"/>
        <w:numPr>
          <w:ilvl w:val="0"/>
          <w:numId w:val="1"/>
        </w:numPr>
        <w:spacing w:after="0" w:line="240" w:lineRule="auto"/>
        <w:rPr>
          <w:rFonts w:ascii="Calibri" w:eastAsia="Calibri" w:hAnsi="Calibri" w:cs="Calibri"/>
        </w:rPr>
      </w:pPr>
      <w:r w:rsidRPr="50C58CC0">
        <w:rPr>
          <w:rFonts w:ascii="Calibri" w:eastAsia="Calibri" w:hAnsi="Calibri" w:cs="Calibri"/>
        </w:rPr>
        <w:t xml:space="preserve">Zimmerman, B. J. (2002). Becoming a self-regulated learner: An overview. </w:t>
      </w:r>
      <w:r w:rsidRPr="50C58CC0">
        <w:rPr>
          <w:rFonts w:ascii="Calibri" w:eastAsia="Calibri" w:hAnsi="Calibri" w:cs="Calibri"/>
          <w:i/>
          <w:iCs/>
        </w:rPr>
        <w:t>Theory into Practice</w:t>
      </w:r>
      <w:r w:rsidRPr="50C58CC0">
        <w:rPr>
          <w:rFonts w:ascii="Calibri" w:eastAsia="Calibri" w:hAnsi="Calibri" w:cs="Calibri"/>
        </w:rPr>
        <w:t xml:space="preserve">, 41(2), 64–70. </w:t>
      </w:r>
      <w:hyperlink r:id="rId14">
        <w:r w:rsidRPr="50C58CC0">
          <w:rPr>
            <w:rStyle w:val="Hyperlink"/>
            <w:rFonts w:ascii="Calibri" w:eastAsia="Calibri" w:hAnsi="Calibri" w:cs="Calibri"/>
          </w:rPr>
          <w:t>https://doi.org/10.1207/s15430421tip4102_2</w:t>
        </w:r>
      </w:hyperlink>
    </w:p>
    <w:p w14:paraId="31DD6FFB" w14:textId="683F32A2" w:rsidR="50C58CC0" w:rsidRDefault="50C58CC0" w:rsidP="50C58CC0">
      <w:pPr>
        <w:spacing w:after="0" w:line="240" w:lineRule="auto"/>
      </w:pPr>
    </w:p>
    <w:sectPr w:rsidR="50C58CC0" w:rsidSect="00352CB6">
      <w:headerReference w:type="default" r:id="rId15"/>
      <w:footerReference w:type="defaul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B0B09" w14:textId="77777777" w:rsidR="007F2C56" w:rsidRDefault="007F2C56">
      <w:pPr>
        <w:spacing w:after="0" w:line="240" w:lineRule="auto"/>
      </w:pPr>
      <w:r>
        <w:separator/>
      </w:r>
    </w:p>
  </w:endnote>
  <w:endnote w:type="continuationSeparator" w:id="0">
    <w:p w14:paraId="0C06E9F3" w14:textId="77777777" w:rsidR="007F2C56" w:rsidRDefault="007F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5E1E8" w14:textId="70DAF6F1" w:rsidR="76C7D099" w:rsidRDefault="50C58CC0" w:rsidP="50C58CC0">
    <w:pPr>
      <w:pStyle w:val="Footer"/>
      <w:jc w:val="right"/>
    </w:pPr>
    <w:r>
      <w:t>Last Updated: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2FCDC" w14:textId="77777777" w:rsidR="007F2C56" w:rsidRDefault="007F2C56">
      <w:pPr>
        <w:spacing w:after="0" w:line="240" w:lineRule="auto"/>
      </w:pPr>
      <w:r>
        <w:separator/>
      </w:r>
    </w:p>
  </w:footnote>
  <w:footnote w:type="continuationSeparator" w:id="0">
    <w:p w14:paraId="2679627A" w14:textId="77777777" w:rsidR="007F2C56" w:rsidRDefault="007F2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9110D" w14:textId="75773B55" w:rsidR="76C7D099" w:rsidRDefault="50C58CC0" w:rsidP="50C58CC0">
    <w:r>
      <w:rPr>
        <w:noProof/>
      </w:rPr>
      <w:drawing>
        <wp:inline distT="0" distB="0" distL="0" distR="0" wp14:anchorId="36677AB1" wp14:editId="2A87489E">
          <wp:extent cx="6839470" cy="541067"/>
          <wp:effectExtent l="0" t="0" r="0" b="0"/>
          <wp:docPr id="782476379" name="Picture 782476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839470" cy="5410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66448"/>
    <w:multiLevelType w:val="hybridMultilevel"/>
    <w:tmpl w:val="DD86D9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8796983"/>
    <w:multiLevelType w:val="hybridMultilevel"/>
    <w:tmpl w:val="44305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80060E8"/>
    <w:multiLevelType w:val="hybridMultilevel"/>
    <w:tmpl w:val="C2F487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54C3A517"/>
    <w:multiLevelType w:val="hybridMultilevel"/>
    <w:tmpl w:val="C9D6A694"/>
    <w:lvl w:ilvl="0" w:tplc="18F23C84">
      <w:start w:val="1"/>
      <w:numFmt w:val="bullet"/>
      <w:lvlText w:val=""/>
      <w:lvlJc w:val="left"/>
      <w:pPr>
        <w:ind w:left="720" w:hanging="360"/>
      </w:pPr>
      <w:rPr>
        <w:rFonts w:ascii="Symbol" w:hAnsi="Symbol" w:hint="default"/>
      </w:rPr>
    </w:lvl>
    <w:lvl w:ilvl="1" w:tplc="E47884BA">
      <w:start w:val="1"/>
      <w:numFmt w:val="bullet"/>
      <w:lvlText w:val="o"/>
      <w:lvlJc w:val="left"/>
      <w:pPr>
        <w:ind w:left="1440" w:hanging="360"/>
      </w:pPr>
      <w:rPr>
        <w:rFonts w:ascii="Courier New" w:hAnsi="Courier New" w:hint="default"/>
      </w:rPr>
    </w:lvl>
    <w:lvl w:ilvl="2" w:tplc="3CB0A79C">
      <w:start w:val="1"/>
      <w:numFmt w:val="bullet"/>
      <w:lvlText w:val=""/>
      <w:lvlJc w:val="left"/>
      <w:pPr>
        <w:ind w:left="2160" w:hanging="360"/>
      </w:pPr>
      <w:rPr>
        <w:rFonts w:ascii="Wingdings" w:hAnsi="Wingdings" w:hint="default"/>
      </w:rPr>
    </w:lvl>
    <w:lvl w:ilvl="3" w:tplc="A560D760">
      <w:start w:val="1"/>
      <w:numFmt w:val="bullet"/>
      <w:lvlText w:val=""/>
      <w:lvlJc w:val="left"/>
      <w:pPr>
        <w:ind w:left="2880" w:hanging="360"/>
      </w:pPr>
      <w:rPr>
        <w:rFonts w:ascii="Symbol" w:hAnsi="Symbol" w:hint="default"/>
      </w:rPr>
    </w:lvl>
    <w:lvl w:ilvl="4" w:tplc="F9967142">
      <w:start w:val="1"/>
      <w:numFmt w:val="bullet"/>
      <w:lvlText w:val="o"/>
      <w:lvlJc w:val="left"/>
      <w:pPr>
        <w:ind w:left="3600" w:hanging="360"/>
      </w:pPr>
      <w:rPr>
        <w:rFonts w:ascii="Courier New" w:hAnsi="Courier New" w:hint="default"/>
      </w:rPr>
    </w:lvl>
    <w:lvl w:ilvl="5" w:tplc="63E4A324">
      <w:start w:val="1"/>
      <w:numFmt w:val="bullet"/>
      <w:lvlText w:val=""/>
      <w:lvlJc w:val="left"/>
      <w:pPr>
        <w:ind w:left="4320" w:hanging="360"/>
      </w:pPr>
      <w:rPr>
        <w:rFonts w:ascii="Wingdings" w:hAnsi="Wingdings" w:hint="default"/>
      </w:rPr>
    </w:lvl>
    <w:lvl w:ilvl="6" w:tplc="33DE1F2A">
      <w:start w:val="1"/>
      <w:numFmt w:val="bullet"/>
      <w:lvlText w:val=""/>
      <w:lvlJc w:val="left"/>
      <w:pPr>
        <w:ind w:left="5040" w:hanging="360"/>
      </w:pPr>
      <w:rPr>
        <w:rFonts w:ascii="Symbol" w:hAnsi="Symbol" w:hint="default"/>
      </w:rPr>
    </w:lvl>
    <w:lvl w:ilvl="7" w:tplc="DFA43FE2">
      <w:start w:val="1"/>
      <w:numFmt w:val="bullet"/>
      <w:lvlText w:val="o"/>
      <w:lvlJc w:val="left"/>
      <w:pPr>
        <w:ind w:left="5760" w:hanging="360"/>
      </w:pPr>
      <w:rPr>
        <w:rFonts w:ascii="Courier New" w:hAnsi="Courier New" w:hint="default"/>
      </w:rPr>
    </w:lvl>
    <w:lvl w:ilvl="8" w:tplc="3814A0B4">
      <w:start w:val="1"/>
      <w:numFmt w:val="bullet"/>
      <w:lvlText w:val=""/>
      <w:lvlJc w:val="left"/>
      <w:pPr>
        <w:ind w:left="6480" w:hanging="360"/>
      </w:pPr>
      <w:rPr>
        <w:rFonts w:ascii="Wingdings" w:hAnsi="Wingdings" w:hint="default"/>
      </w:rPr>
    </w:lvl>
  </w:abstractNum>
  <w:abstractNum w:abstractNumId="4" w15:restartNumberingAfterBreak="0">
    <w:nsid w:val="6E0A41EA"/>
    <w:multiLevelType w:val="hybridMultilevel"/>
    <w:tmpl w:val="FB3CF4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6E9E9D72"/>
    <w:multiLevelType w:val="hybridMultilevel"/>
    <w:tmpl w:val="0F8851D8"/>
    <w:lvl w:ilvl="0" w:tplc="5D7A92C2">
      <w:start w:val="1"/>
      <w:numFmt w:val="bullet"/>
      <w:lvlText w:val=""/>
      <w:lvlJc w:val="left"/>
      <w:pPr>
        <w:ind w:left="720" w:hanging="360"/>
      </w:pPr>
      <w:rPr>
        <w:rFonts w:ascii="Symbol" w:hAnsi="Symbol" w:hint="default"/>
      </w:rPr>
    </w:lvl>
    <w:lvl w:ilvl="1" w:tplc="C098393A">
      <w:start w:val="1"/>
      <w:numFmt w:val="bullet"/>
      <w:lvlText w:val="o"/>
      <w:lvlJc w:val="left"/>
      <w:pPr>
        <w:ind w:left="1440" w:hanging="360"/>
      </w:pPr>
      <w:rPr>
        <w:rFonts w:ascii="Courier New" w:hAnsi="Courier New" w:hint="default"/>
      </w:rPr>
    </w:lvl>
    <w:lvl w:ilvl="2" w:tplc="AE28B166">
      <w:start w:val="1"/>
      <w:numFmt w:val="bullet"/>
      <w:lvlText w:val=""/>
      <w:lvlJc w:val="left"/>
      <w:pPr>
        <w:ind w:left="2160" w:hanging="360"/>
      </w:pPr>
      <w:rPr>
        <w:rFonts w:ascii="Wingdings" w:hAnsi="Wingdings" w:hint="default"/>
      </w:rPr>
    </w:lvl>
    <w:lvl w:ilvl="3" w:tplc="37EA8518">
      <w:start w:val="1"/>
      <w:numFmt w:val="bullet"/>
      <w:lvlText w:val=""/>
      <w:lvlJc w:val="left"/>
      <w:pPr>
        <w:ind w:left="2880" w:hanging="360"/>
      </w:pPr>
      <w:rPr>
        <w:rFonts w:ascii="Symbol" w:hAnsi="Symbol" w:hint="default"/>
      </w:rPr>
    </w:lvl>
    <w:lvl w:ilvl="4" w:tplc="5F4EB636">
      <w:start w:val="1"/>
      <w:numFmt w:val="bullet"/>
      <w:lvlText w:val="o"/>
      <w:lvlJc w:val="left"/>
      <w:pPr>
        <w:ind w:left="3600" w:hanging="360"/>
      </w:pPr>
      <w:rPr>
        <w:rFonts w:ascii="Courier New" w:hAnsi="Courier New" w:hint="default"/>
      </w:rPr>
    </w:lvl>
    <w:lvl w:ilvl="5" w:tplc="E45EA9C8">
      <w:start w:val="1"/>
      <w:numFmt w:val="bullet"/>
      <w:lvlText w:val=""/>
      <w:lvlJc w:val="left"/>
      <w:pPr>
        <w:ind w:left="4320" w:hanging="360"/>
      </w:pPr>
      <w:rPr>
        <w:rFonts w:ascii="Wingdings" w:hAnsi="Wingdings" w:hint="default"/>
      </w:rPr>
    </w:lvl>
    <w:lvl w:ilvl="6" w:tplc="D4D483A8">
      <w:start w:val="1"/>
      <w:numFmt w:val="bullet"/>
      <w:lvlText w:val=""/>
      <w:lvlJc w:val="left"/>
      <w:pPr>
        <w:ind w:left="5040" w:hanging="360"/>
      </w:pPr>
      <w:rPr>
        <w:rFonts w:ascii="Symbol" w:hAnsi="Symbol" w:hint="default"/>
      </w:rPr>
    </w:lvl>
    <w:lvl w:ilvl="7" w:tplc="5F1C3498">
      <w:start w:val="1"/>
      <w:numFmt w:val="bullet"/>
      <w:lvlText w:val="o"/>
      <w:lvlJc w:val="left"/>
      <w:pPr>
        <w:ind w:left="5760" w:hanging="360"/>
      </w:pPr>
      <w:rPr>
        <w:rFonts w:ascii="Courier New" w:hAnsi="Courier New" w:hint="default"/>
      </w:rPr>
    </w:lvl>
    <w:lvl w:ilvl="8" w:tplc="18DC2148">
      <w:start w:val="1"/>
      <w:numFmt w:val="bullet"/>
      <w:lvlText w:val=""/>
      <w:lvlJc w:val="left"/>
      <w:pPr>
        <w:ind w:left="6480" w:hanging="360"/>
      </w:pPr>
      <w:rPr>
        <w:rFonts w:ascii="Wingdings" w:hAnsi="Wingdings" w:hint="default"/>
      </w:rPr>
    </w:lvl>
  </w:abstractNum>
  <w:num w:numId="1" w16cid:durableId="773940606">
    <w:abstractNumId w:val="5"/>
  </w:num>
  <w:num w:numId="2" w16cid:durableId="53743488">
    <w:abstractNumId w:val="3"/>
  </w:num>
  <w:num w:numId="3" w16cid:durableId="598300023">
    <w:abstractNumId w:val="4"/>
  </w:num>
  <w:num w:numId="4" w16cid:durableId="566959970">
    <w:abstractNumId w:val="0"/>
  </w:num>
  <w:num w:numId="5" w16cid:durableId="624703112">
    <w:abstractNumId w:val="2"/>
  </w:num>
  <w:num w:numId="6" w16cid:durableId="443423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87"/>
    <w:rsid w:val="00175CD5"/>
    <w:rsid w:val="001C75AE"/>
    <w:rsid w:val="001D74FE"/>
    <w:rsid w:val="00236EEA"/>
    <w:rsid w:val="00251887"/>
    <w:rsid w:val="00352CB6"/>
    <w:rsid w:val="003D5312"/>
    <w:rsid w:val="00485B5E"/>
    <w:rsid w:val="0057005B"/>
    <w:rsid w:val="0062099E"/>
    <w:rsid w:val="00651C3E"/>
    <w:rsid w:val="006C4AEF"/>
    <w:rsid w:val="00741FCB"/>
    <w:rsid w:val="00782BD0"/>
    <w:rsid w:val="0079602F"/>
    <w:rsid w:val="007F2C56"/>
    <w:rsid w:val="00803AC3"/>
    <w:rsid w:val="008F2274"/>
    <w:rsid w:val="009D0A43"/>
    <w:rsid w:val="00A6082B"/>
    <w:rsid w:val="00A86E2A"/>
    <w:rsid w:val="00A92D22"/>
    <w:rsid w:val="00B16B5C"/>
    <w:rsid w:val="00B64C88"/>
    <w:rsid w:val="00BC2601"/>
    <w:rsid w:val="00C77003"/>
    <w:rsid w:val="00D662CF"/>
    <w:rsid w:val="00DA7F87"/>
    <w:rsid w:val="00E20D9A"/>
    <w:rsid w:val="00EF567C"/>
    <w:rsid w:val="03891E2B"/>
    <w:rsid w:val="0AD10656"/>
    <w:rsid w:val="0BB67120"/>
    <w:rsid w:val="25B1FBD5"/>
    <w:rsid w:val="2B0B3C79"/>
    <w:rsid w:val="3AF7CFB5"/>
    <w:rsid w:val="3B47ECD7"/>
    <w:rsid w:val="3E60EE8B"/>
    <w:rsid w:val="3F16F926"/>
    <w:rsid w:val="40A03EA0"/>
    <w:rsid w:val="43345FAE"/>
    <w:rsid w:val="44B707B2"/>
    <w:rsid w:val="4652D813"/>
    <w:rsid w:val="46F35BE4"/>
    <w:rsid w:val="4A3A73C9"/>
    <w:rsid w:val="50C58CC0"/>
    <w:rsid w:val="5A945F92"/>
    <w:rsid w:val="5E0060AD"/>
    <w:rsid w:val="60EA78B9"/>
    <w:rsid w:val="6D3A16B0"/>
    <w:rsid w:val="76C7D099"/>
    <w:rsid w:val="7763810D"/>
    <w:rsid w:val="77778606"/>
    <w:rsid w:val="79E1B6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DB1F"/>
  <w15:chartTrackingRefBased/>
  <w15:docId w15:val="{71A9EF1E-3232-4973-976C-4547AB81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3A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50C58CC0"/>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9D0A43"/>
    <w:rPr>
      <w:color w:val="605E5C"/>
      <w:shd w:val="clear" w:color="auto" w:fill="E1DFDD"/>
    </w:rPr>
  </w:style>
  <w:style w:type="paragraph" w:styleId="Title">
    <w:name w:val="Title"/>
    <w:basedOn w:val="Normal"/>
    <w:next w:val="Normal"/>
    <w:link w:val="TitleChar"/>
    <w:uiPriority w:val="10"/>
    <w:qFormat/>
    <w:rsid w:val="00352C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CB6"/>
    <w:rPr>
      <w:rFonts w:asciiTheme="majorHAnsi" w:eastAsiaTheme="majorEastAsia" w:hAnsiTheme="majorHAnsi" w:cstheme="majorBidi"/>
      <w:spacing w:val="-10"/>
      <w:kern w:val="28"/>
      <w:sz w:val="56"/>
      <w:szCs w:val="56"/>
    </w:rPr>
  </w:style>
  <w:style w:type="paragraph" w:styleId="NoSpacing">
    <w:name w:val="No Spacing"/>
    <w:uiPriority w:val="1"/>
    <w:qFormat/>
    <w:rsid w:val="00352CB6"/>
    <w:pPr>
      <w:spacing w:after="0" w:line="240" w:lineRule="auto"/>
    </w:pPr>
  </w:style>
  <w:style w:type="character" w:customStyle="1" w:styleId="Heading2Char">
    <w:name w:val="Heading 2 Char"/>
    <w:basedOn w:val="DefaultParagraphFont"/>
    <w:link w:val="Heading2"/>
    <w:uiPriority w:val="9"/>
    <w:rsid w:val="00803AC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03AC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80/0009138100359089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111/j.1467-9280.2006.01693.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77/174569161664577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doi.org/10.1177/152910061245326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207/s15430421tip4102_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7C258344-33B2-48B5-8765-43536F95C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3ec2c-7178-408a-a8d0-ff39054554d1"/>
    <ds:schemaRef ds:uri="8ea0de75-6518-4d3f-b5e2-6ac46d5c6dfa"/>
    <ds:schemaRef ds:uri="ac3b9fd6-5397-4331-80b5-7c5a2866c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F66C84-2D57-4018-9C5E-DBB0F3A3B4A9}">
  <ds:schemaRefs>
    <ds:schemaRef ds:uri="http://schemas.microsoft.com/sharepoint/v3/contenttype/forms"/>
  </ds:schemaRefs>
</ds:datastoreItem>
</file>

<file path=customXml/itemProps3.xml><?xml version="1.0" encoding="utf-8"?>
<ds:datastoreItem xmlns:ds="http://schemas.openxmlformats.org/officeDocument/2006/customXml" ds:itemID="{BB4BA841-ED84-4CDC-A8B2-CD15B01CFA29}">
  <ds:schemaRefs>
    <ds:schemaRef ds:uri="http://schemas.microsoft.com/office/2006/metadata/properties"/>
    <ds:schemaRef ds:uri="http://schemas.microsoft.com/office/infopath/2007/PartnerControls"/>
    <ds:schemaRef ds:uri="cb03ec2c-7178-408a-a8d0-ff39054554d1"/>
    <ds:schemaRef ds:uri="ac3b9fd6-5397-4331-80b5-7c5a2866cf3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Messenger</dc:creator>
  <cp:keywords/>
  <dc:description/>
  <cp:lastModifiedBy>Brittany Messenger</cp:lastModifiedBy>
  <cp:revision>2</cp:revision>
  <dcterms:created xsi:type="dcterms:W3CDTF">2025-07-23T15:58:00Z</dcterms:created>
  <dcterms:modified xsi:type="dcterms:W3CDTF">2025-07-23T15:58:00Z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y fmtid="{D5CDD505-2E9C-101B-9397-08002B2CF9AE}" pid="3" name="MediaServiceImageTags">
    <vt:lpwstr/>
  </property>
</Properties>
</file>