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DEFD6" w14:textId="596BEF67" w:rsidR="194441AF" w:rsidRPr="00391DC6" w:rsidRDefault="194441AF" w:rsidP="00391DC6">
      <w:pPr>
        <w:pStyle w:val="Title"/>
        <w:jc w:val="center"/>
        <w:rPr>
          <w:rFonts w:eastAsiaTheme="minorEastAsia"/>
          <w:b/>
          <w:bCs/>
        </w:rPr>
      </w:pPr>
      <w:r w:rsidRPr="00391DC6">
        <w:rPr>
          <w:rFonts w:eastAsiaTheme="minorEastAsia"/>
          <w:b/>
          <w:bCs/>
        </w:rPr>
        <w:t>Notetaking</w:t>
      </w:r>
      <w:r w:rsidR="730E8047" w:rsidRPr="00391DC6">
        <w:rPr>
          <w:rFonts w:eastAsiaTheme="minorEastAsia"/>
          <w:b/>
          <w:bCs/>
        </w:rPr>
        <w:t xml:space="preserve"> </w:t>
      </w:r>
      <w:r w:rsidR="4154FD2A" w:rsidRPr="00391DC6">
        <w:rPr>
          <w:rFonts w:eastAsiaTheme="minorEastAsia"/>
          <w:b/>
          <w:bCs/>
        </w:rPr>
        <w:t xml:space="preserve">&amp; </w:t>
      </w:r>
      <w:r w:rsidR="730E8047" w:rsidRPr="00391DC6">
        <w:rPr>
          <w:rFonts w:eastAsiaTheme="minorEastAsia"/>
          <w:b/>
          <w:bCs/>
        </w:rPr>
        <w:t xml:space="preserve">the </w:t>
      </w:r>
      <w:r w:rsidR="639AC3F6" w:rsidRPr="00391DC6">
        <w:rPr>
          <w:rFonts w:eastAsiaTheme="minorEastAsia"/>
          <w:b/>
          <w:bCs/>
        </w:rPr>
        <w:t>S</w:t>
      </w:r>
      <w:r w:rsidR="730E8047" w:rsidRPr="00391DC6">
        <w:rPr>
          <w:rFonts w:eastAsiaTheme="minorEastAsia"/>
          <w:b/>
          <w:bCs/>
        </w:rPr>
        <w:t xml:space="preserve">tudy </w:t>
      </w:r>
      <w:r w:rsidR="4EFD5E33" w:rsidRPr="00391DC6">
        <w:rPr>
          <w:rFonts w:eastAsiaTheme="minorEastAsia"/>
          <w:b/>
          <w:bCs/>
        </w:rPr>
        <w:t>C</w:t>
      </w:r>
      <w:r w:rsidR="730E8047" w:rsidRPr="00391DC6">
        <w:rPr>
          <w:rFonts w:eastAsiaTheme="minorEastAsia"/>
          <w:b/>
          <w:bCs/>
        </w:rPr>
        <w:t>ycle</w:t>
      </w:r>
    </w:p>
    <w:p w14:paraId="313CA586" w14:textId="3C407465" w:rsidR="730E8047" w:rsidRDefault="730E8047" w:rsidP="645AB27E">
      <w:pPr>
        <w:spacing w:before="240" w:after="240"/>
        <w:rPr>
          <w:rFonts w:eastAsiaTheme="minorEastAsia"/>
          <w:sz w:val="24"/>
          <w:szCs w:val="24"/>
        </w:rPr>
      </w:pPr>
      <w:r w:rsidRPr="645AB27E">
        <w:rPr>
          <w:rFonts w:eastAsiaTheme="minorEastAsia"/>
          <w:sz w:val="24"/>
          <w:szCs w:val="24"/>
        </w:rPr>
        <w:t xml:space="preserve">Lectures are a cornerstone of university learning, delivering key concepts in real time—no pause or rewind. To stay attentive and retain material, it’s essential to use strategies </w:t>
      </w:r>
      <w:r w:rsidRPr="645AB27E">
        <w:rPr>
          <w:rFonts w:eastAsiaTheme="minorEastAsia"/>
          <w:i/>
          <w:iCs/>
          <w:sz w:val="24"/>
          <w:szCs w:val="24"/>
        </w:rPr>
        <w:t>before</w:t>
      </w:r>
      <w:r w:rsidRPr="645AB27E">
        <w:rPr>
          <w:rFonts w:eastAsiaTheme="minorEastAsia"/>
          <w:sz w:val="24"/>
          <w:szCs w:val="24"/>
        </w:rPr>
        <w:t xml:space="preserve">, </w:t>
      </w:r>
      <w:r w:rsidRPr="645AB27E">
        <w:rPr>
          <w:rFonts w:eastAsiaTheme="minorEastAsia"/>
          <w:i/>
          <w:iCs/>
          <w:sz w:val="24"/>
          <w:szCs w:val="24"/>
        </w:rPr>
        <w:t>during</w:t>
      </w:r>
      <w:r w:rsidRPr="645AB27E">
        <w:rPr>
          <w:rFonts w:eastAsiaTheme="minorEastAsia"/>
          <w:sz w:val="24"/>
          <w:szCs w:val="24"/>
        </w:rPr>
        <w:t xml:space="preserve">, and </w:t>
      </w:r>
      <w:r w:rsidRPr="645AB27E">
        <w:rPr>
          <w:rFonts w:eastAsiaTheme="minorEastAsia"/>
          <w:i/>
          <w:iCs/>
          <w:sz w:val="24"/>
          <w:szCs w:val="24"/>
        </w:rPr>
        <w:t>after</w:t>
      </w:r>
      <w:r w:rsidRPr="645AB27E">
        <w:rPr>
          <w:rFonts w:eastAsiaTheme="minorEastAsia"/>
          <w:sz w:val="24"/>
          <w:szCs w:val="24"/>
        </w:rPr>
        <w:t xml:space="preserve"> lectures.</w:t>
      </w:r>
    </w:p>
    <w:p w14:paraId="1FC817CE" w14:textId="4B132EE7" w:rsidR="730E8047" w:rsidRDefault="730E8047" w:rsidP="00391DC6">
      <w:pPr>
        <w:pStyle w:val="Heading2"/>
        <w:rPr>
          <w:rFonts w:eastAsiaTheme="minorEastAsia"/>
        </w:rPr>
      </w:pPr>
      <w:r w:rsidRPr="645AB27E">
        <w:rPr>
          <w:rFonts w:eastAsiaTheme="minorEastAsia"/>
        </w:rPr>
        <w:t>Before the Lecture</w:t>
      </w:r>
    </w:p>
    <w:p w14:paraId="07188B3F" w14:textId="23DC1BFB" w:rsidR="730E8047" w:rsidRDefault="730E8047" w:rsidP="645AB27E">
      <w:pPr>
        <w:pStyle w:val="ListParagraph"/>
        <w:numPr>
          <w:ilvl w:val="0"/>
          <w:numId w:val="4"/>
        </w:numPr>
        <w:spacing w:before="240" w:after="240"/>
        <w:rPr>
          <w:rFonts w:eastAsiaTheme="minorEastAsia"/>
          <w:sz w:val="24"/>
          <w:szCs w:val="24"/>
        </w:rPr>
      </w:pPr>
      <w:r w:rsidRPr="645AB27E">
        <w:rPr>
          <w:rFonts w:eastAsiaTheme="minorEastAsia"/>
          <w:b/>
          <w:bCs/>
          <w:sz w:val="24"/>
          <w:szCs w:val="24"/>
        </w:rPr>
        <w:t>Preview the material</w:t>
      </w:r>
      <w:r w:rsidRPr="645AB27E">
        <w:rPr>
          <w:rFonts w:eastAsiaTheme="minorEastAsia"/>
          <w:sz w:val="24"/>
          <w:szCs w:val="24"/>
        </w:rPr>
        <w:t xml:space="preserve"> by reading assigned chapters or working through problems to prime your understanding and link new ideas to prior knowledge </w:t>
      </w:r>
      <w:hyperlink r:id="rId10">
        <w:r w:rsidRPr="645AB27E">
          <w:rPr>
            <w:rStyle w:val="Hyperlink"/>
            <w:rFonts w:eastAsiaTheme="minorEastAsia"/>
            <w:sz w:val="24"/>
            <w:szCs w:val="24"/>
          </w:rPr>
          <w:t xml:space="preserve"> </w:t>
        </w:r>
      </w:hyperlink>
    </w:p>
    <w:p w14:paraId="173C850B" w14:textId="7CA96663" w:rsidR="730E8047" w:rsidRDefault="730E8047" w:rsidP="645AB27E">
      <w:pPr>
        <w:pStyle w:val="ListParagraph"/>
        <w:numPr>
          <w:ilvl w:val="0"/>
          <w:numId w:val="4"/>
        </w:numPr>
        <w:spacing w:before="240" w:after="240"/>
        <w:rPr>
          <w:rFonts w:eastAsiaTheme="minorEastAsia"/>
          <w:sz w:val="24"/>
          <w:szCs w:val="24"/>
        </w:rPr>
      </w:pPr>
      <w:r w:rsidRPr="645AB27E">
        <w:rPr>
          <w:rFonts w:eastAsiaTheme="minorEastAsia"/>
          <w:b/>
          <w:bCs/>
          <w:sz w:val="24"/>
          <w:szCs w:val="24"/>
        </w:rPr>
        <w:t>Check the syllabus or lecture outline</w:t>
      </w:r>
      <w:r w:rsidRPr="645AB27E">
        <w:rPr>
          <w:rFonts w:eastAsiaTheme="minorEastAsia"/>
          <w:sz w:val="24"/>
          <w:szCs w:val="24"/>
        </w:rPr>
        <w:t xml:space="preserve"> to understand the focus and goals for the session.</w:t>
      </w:r>
    </w:p>
    <w:p w14:paraId="516FA24B" w14:textId="11DE581A" w:rsidR="730E8047" w:rsidRDefault="730E8047" w:rsidP="645AB27E">
      <w:pPr>
        <w:pStyle w:val="ListParagraph"/>
        <w:numPr>
          <w:ilvl w:val="0"/>
          <w:numId w:val="4"/>
        </w:numPr>
        <w:spacing w:before="240" w:after="240"/>
        <w:rPr>
          <w:rFonts w:eastAsiaTheme="minorEastAsia"/>
          <w:sz w:val="24"/>
          <w:szCs w:val="24"/>
        </w:rPr>
      </w:pPr>
      <w:r w:rsidRPr="645AB27E">
        <w:rPr>
          <w:rFonts w:eastAsiaTheme="minorEastAsia"/>
          <w:b/>
          <w:bCs/>
          <w:sz w:val="24"/>
          <w:szCs w:val="24"/>
        </w:rPr>
        <w:t>Quickly review previous notes</w:t>
      </w:r>
      <w:r w:rsidRPr="645AB27E">
        <w:rPr>
          <w:rFonts w:eastAsiaTheme="minorEastAsia"/>
          <w:sz w:val="24"/>
          <w:szCs w:val="24"/>
        </w:rPr>
        <w:t xml:space="preserve"> (5–10 minutes) to reinforce continuity across lectures.</w:t>
      </w:r>
    </w:p>
    <w:p w14:paraId="36AD159D" w14:textId="61205810" w:rsidR="730E8047" w:rsidRDefault="730E8047" w:rsidP="645AB27E">
      <w:pPr>
        <w:pStyle w:val="ListParagraph"/>
        <w:numPr>
          <w:ilvl w:val="0"/>
          <w:numId w:val="4"/>
        </w:numPr>
        <w:spacing w:before="240" w:after="240"/>
        <w:rPr>
          <w:rFonts w:eastAsiaTheme="minorEastAsia"/>
          <w:sz w:val="24"/>
          <w:szCs w:val="24"/>
        </w:rPr>
      </w:pPr>
      <w:r w:rsidRPr="645AB27E">
        <w:rPr>
          <w:rFonts w:eastAsiaTheme="minorEastAsia"/>
          <w:b/>
          <w:bCs/>
          <w:sz w:val="24"/>
          <w:szCs w:val="24"/>
        </w:rPr>
        <w:t>Prepare questions</w:t>
      </w:r>
      <w:r w:rsidRPr="645AB27E">
        <w:rPr>
          <w:rFonts w:eastAsiaTheme="minorEastAsia"/>
          <w:sz w:val="24"/>
          <w:szCs w:val="24"/>
        </w:rPr>
        <w:t xml:space="preserve"> in advance—this creates a purposeful focus and engagement during class </w:t>
      </w:r>
    </w:p>
    <w:p w14:paraId="60A4687A" w14:textId="4FFE8D80" w:rsidR="730E8047" w:rsidRDefault="730E8047" w:rsidP="645AB27E">
      <w:pPr>
        <w:pStyle w:val="ListParagraph"/>
        <w:numPr>
          <w:ilvl w:val="0"/>
          <w:numId w:val="4"/>
        </w:numPr>
        <w:spacing w:before="240" w:after="240"/>
        <w:rPr>
          <w:rFonts w:eastAsiaTheme="minorEastAsia"/>
          <w:sz w:val="24"/>
          <w:szCs w:val="24"/>
        </w:rPr>
      </w:pPr>
      <w:r w:rsidRPr="645AB27E">
        <w:rPr>
          <w:rFonts w:eastAsiaTheme="minorEastAsia"/>
          <w:b/>
          <w:bCs/>
          <w:sz w:val="24"/>
          <w:szCs w:val="24"/>
        </w:rPr>
        <w:t>Ready your tech</w:t>
      </w:r>
      <w:r w:rsidRPr="645AB27E">
        <w:rPr>
          <w:rFonts w:eastAsiaTheme="minorEastAsia"/>
          <w:sz w:val="24"/>
          <w:szCs w:val="24"/>
        </w:rPr>
        <w:t xml:space="preserve"> for online classes: test your connection and close distracting tabs.</w:t>
      </w:r>
    </w:p>
    <w:p w14:paraId="77E6AF59" w14:textId="1C1DC545" w:rsidR="730E8047" w:rsidRDefault="730E8047" w:rsidP="00391DC6">
      <w:pPr>
        <w:pStyle w:val="Heading2"/>
        <w:rPr>
          <w:rFonts w:eastAsiaTheme="minorEastAsia"/>
        </w:rPr>
      </w:pPr>
      <w:r w:rsidRPr="645AB27E">
        <w:rPr>
          <w:rFonts w:eastAsiaTheme="minorEastAsia"/>
        </w:rPr>
        <w:t>During the Lecture</w:t>
      </w:r>
    </w:p>
    <w:p w14:paraId="18D2F03D" w14:textId="58BE9B52" w:rsidR="730E8047" w:rsidRDefault="730E8047" w:rsidP="645AB27E">
      <w:pPr>
        <w:pStyle w:val="ListParagraph"/>
        <w:numPr>
          <w:ilvl w:val="0"/>
          <w:numId w:val="3"/>
        </w:numPr>
        <w:spacing w:before="240" w:after="240"/>
        <w:rPr>
          <w:rFonts w:eastAsiaTheme="minorEastAsia"/>
          <w:sz w:val="24"/>
          <w:szCs w:val="24"/>
        </w:rPr>
      </w:pPr>
      <w:r w:rsidRPr="645AB27E">
        <w:rPr>
          <w:rFonts w:eastAsiaTheme="minorEastAsia"/>
          <w:b/>
          <w:bCs/>
          <w:sz w:val="24"/>
          <w:szCs w:val="24"/>
        </w:rPr>
        <w:t>Choose a distraction-free spot:</w:t>
      </w:r>
      <w:r w:rsidRPr="645AB27E">
        <w:rPr>
          <w:rFonts w:eastAsiaTheme="minorEastAsia"/>
          <w:sz w:val="24"/>
          <w:szCs w:val="24"/>
        </w:rPr>
        <w:t xml:space="preserve"> Sit front and center in person or find a quiet space online away from your phone.</w:t>
      </w:r>
    </w:p>
    <w:p w14:paraId="3349072A" w14:textId="2E561906" w:rsidR="730E8047" w:rsidRDefault="730E8047" w:rsidP="645AB27E">
      <w:pPr>
        <w:pStyle w:val="ListParagraph"/>
        <w:numPr>
          <w:ilvl w:val="0"/>
          <w:numId w:val="3"/>
        </w:numPr>
        <w:spacing w:before="240" w:after="240"/>
        <w:rPr>
          <w:rFonts w:eastAsiaTheme="minorEastAsia"/>
          <w:sz w:val="24"/>
          <w:szCs w:val="24"/>
        </w:rPr>
      </w:pPr>
      <w:r w:rsidRPr="645AB27E">
        <w:rPr>
          <w:rFonts w:eastAsiaTheme="minorEastAsia"/>
          <w:b/>
          <w:bCs/>
          <w:sz w:val="24"/>
          <w:szCs w:val="24"/>
        </w:rPr>
        <w:t>Take focused and organized notes:</w:t>
      </w:r>
      <w:r w:rsidRPr="645AB27E">
        <w:rPr>
          <w:rFonts w:eastAsiaTheme="minorEastAsia"/>
          <w:sz w:val="24"/>
          <w:szCs w:val="24"/>
        </w:rPr>
        <w:t xml:space="preserve"> Use bullet points, shorthand, and symbols (e.g., →, ≠, $, ~) to record crucial ideas.</w:t>
      </w:r>
    </w:p>
    <w:p w14:paraId="5EF6F666" w14:textId="725048B5" w:rsidR="730E8047" w:rsidRDefault="730E8047" w:rsidP="645AB27E">
      <w:pPr>
        <w:pStyle w:val="ListParagraph"/>
        <w:numPr>
          <w:ilvl w:val="0"/>
          <w:numId w:val="3"/>
        </w:numPr>
        <w:spacing w:before="240" w:after="240"/>
        <w:rPr>
          <w:rFonts w:eastAsiaTheme="minorEastAsia"/>
          <w:sz w:val="24"/>
          <w:szCs w:val="24"/>
        </w:rPr>
      </w:pPr>
      <w:r w:rsidRPr="645AB27E">
        <w:rPr>
          <w:rFonts w:eastAsiaTheme="minorEastAsia"/>
          <w:b/>
          <w:bCs/>
          <w:sz w:val="24"/>
          <w:szCs w:val="24"/>
        </w:rPr>
        <w:t>Watch for verbal and visual cues</w:t>
      </w:r>
      <w:r w:rsidRPr="645AB27E">
        <w:rPr>
          <w:rFonts w:eastAsiaTheme="minorEastAsia"/>
          <w:sz w:val="24"/>
          <w:szCs w:val="24"/>
        </w:rPr>
        <w:t xml:space="preserve"> like emphasis, repetition, or board highlights—these often signal key insights.</w:t>
      </w:r>
    </w:p>
    <w:p w14:paraId="3FE04033" w14:textId="779A4CC0" w:rsidR="730E8047" w:rsidRDefault="730E8047" w:rsidP="00391DC6">
      <w:pPr>
        <w:pStyle w:val="Heading2"/>
        <w:rPr>
          <w:rFonts w:eastAsiaTheme="minorEastAsia"/>
        </w:rPr>
      </w:pPr>
      <w:r w:rsidRPr="645AB27E">
        <w:rPr>
          <w:rFonts w:eastAsiaTheme="minorEastAsia"/>
        </w:rPr>
        <w:t>After the Lecture</w:t>
      </w:r>
    </w:p>
    <w:p w14:paraId="485B1A6E" w14:textId="60DCAA65" w:rsidR="730E8047" w:rsidRDefault="730E8047" w:rsidP="645AB27E">
      <w:pPr>
        <w:pStyle w:val="ListParagraph"/>
        <w:numPr>
          <w:ilvl w:val="0"/>
          <w:numId w:val="2"/>
        </w:numPr>
        <w:spacing w:before="240" w:after="240"/>
        <w:rPr>
          <w:rFonts w:eastAsiaTheme="minorEastAsia"/>
          <w:sz w:val="24"/>
          <w:szCs w:val="24"/>
        </w:rPr>
      </w:pPr>
      <w:r w:rsidRPr="645AB27E">
        <w:rPr>
          <w:rFonts w:eastAsiaTheme="minorEastAsia"/>
          <w:b/>
          <w:bCs/>
          <w:sz w:val="24"/>
          <w:szCs w:val="24"/>
        </w:rPr>
        <w:t>Review notes within 24 hours:</w:t>
      </w:r>
      <w:r w:rsidRPr="645AB27E">
        <w:rPr>
          <w:rFonts w:eastAsiaTheme="minorEastAsia"/>
          <w:sz w:val="24"/>
          <w:szCs w:val="24"/>
        </w:rPr>
        <w:t xml:space="preserve"> Summarize in your own words, connect with pre-lecture materials, and clarify any gaps</w:t>
      </w:r>
      <w:r w:rsidR="4EC4E911" w:rsidRPr="645AB27E">
        <w:rPr>
          <w:rFonts w:eastAsiaTheme="minorEastAsia"/>
          <w:sz w:val="24"/>
          <w:szCs w:val="24"/>
        </w:rPr>
        <w:t>.</w:t>
      </w:r>
    </w:p>
    <w:p w14:paraId="602B4D2B" w14:textId="479464C1" w:rsidR="730E8047" w:rsidRDefault="730E8047" w:rsidP="645AB27E">
      <w:pPr>
        <w:pStyle w:val="ListParagraph"/>
        <w:numPr>
          <w:ilvl w:val="0"/>
          <w:numId w:val="2"/>
        </w:numPr>
        <w:spacing w:before="240" w:after="240"/>
        <w:rPr>
          <w:rFonts w:eastAsiaTheme="minorEastAsia"/>
          <w:sz w:val="24"/>
          <w:szCs w:val="24"/>
        </w:rPr>
      </w:pPr>
      <w:r w:rsidRPr="645AB27E">
        <w:rPr>
          <w:rFonts w:eastAsiaTheme="minorEastAsia"/>
          <w:b/>
          <w:bCs/>
          <w:sz w:val="24"/>
          <w:szCs w:val="24"/>
        </w:rPr>
        <w:t>Turn notes into active study tools:</w:t>
      </w:r>
      <w:r w:rsidRPr="645AB27E">
        <w:rPr>
          <w:rFonts w:eastAsiaTheme="minorEastAsia"/>
          <w:sz w:val="24"/>
          <w:szCs w:val="24"/>
        </w:rPr>
        <w:t xml:space="preserve"> Generate self-test questions or flashcards to boost long-term memory through retrieval practice</w:t>
      </w:r>
      <w:r w:rsidR="07DA0EBD" w:rsidRPr="645AB27E">
        <w:rPr>
          <w:rFonts w:eastAsiaTheme="minorEastAsia"/>
          <w:sz w:val="24"/>
          <w:szCs w:val="24"/>
        </w:rPr>
        <w:t>.</w:t>
      </w:r>
    </w:p>
    <w:p w14:paraId="59B2C5B4" w14:textId="7FA80E40" w:rsidR="730E8047" w:rsidRDefault="730E8047" w:rsidP="645AB27E">
      <w:pPr>
        <w:pStyle w:val="ListParagraph"/>
        <w:numPr>
          <w:ilvl w:val="0"/>
          <w:numId w:val="2"/>
        </w:numPr>
        <w:spacing w:before="240" w:after="240"/>
        <w:rPr>
          <w:rFonts w:eastAsiaTheme="minorEastAsia"/>
          <w:sz w:val="24"/>
          <w:szCs w:val="24"/>
        </w:rPr>
      </w:pPr>
      <w:r w:rsidRPr="645AB27E">
        <w:rPr>
          <w:rFonts w:eastAsiaTheme="minorEastAsia"/>
          <w:b/>
          <w:bCs/>
          <w:sz w:val="24"/>
          <w:szCs w:val="24"/>
        </w:rPr>
        <w:t>Build a study guide</w:t>
      </w:r>
      <w:r w:rsidRPr="645AB27E">
        <w:rPr>
          <w:rFonts w:eastAsiaTheme="minorEastAsia"/>
          <w:sz w:val="24"/>
          <w:szCs w:val="24"/>
        </w:rPr>
        <w:t xml:space="preserve"> by integrating lecture content with textbook readings, pulling out themes, terms, and concept maps.</w:t>
      </w:r>
      <w:r w:rsidR="0413A88A" w:rsidRPr="645AB27E">
        <w:rPr>
          <w:rFonts w:eastAsiaTheme="minorEastAsia"/>
          <w:sz w:val="24"/>
          <w:szCs w:val="24"/>
        </w:rPr>
        <w:t xml:space="preserve"> (Check out our “Studying for Exams” tab for information on study guides).</w:t>
      </w:r>
    </w:p>
    <w:p w14:paraId="730B83B6" w14:textId="39FAF2BD" w:rsidR="645AB27E" w:rsidRDefault="645AB27E" w:rsidP="645AB27E">
      <w:pPr>
        <w:spacing w:before="240" w:after="240"/>
        <w:rPr>
          <w:rFonts w:eastAsiaTheme="minorEastAsia"/>
          <w:sz w:val="24"/>
          <w:szCs w:val="24"/>
        </w:rPr>
      </w:pPr>
    </w:p>
    <w:p w14:paraId="418A53D7" w14:textId="3CE7B72E" w:rsidR="730E8047" w:rsidRDefault="730E8047" w:rsidP="645AB27E">
      <w:pPr>
        <w:spacing w:before="240" w:after="240"/>
        <w:rPr>
          <w:rFonts w:eastAsiaTheme="minorEastAsia"/>
          <w:sz w:val="24"/>
          <w:szCs w:val="24"/>
        </w:rPr>
      </w:pPr>
      <w:r w:rsidRPr="645AB27E">
        <w:rPr>
          <w:rFonts w:eastAsiaTheme="minorEastAsia"/>
          <w:sz w:val="24"/>
          <w:szCs w:val="24"/>
        </w:rPr>
        <w:t>By systematically following these steps—</w:t>
      </w:r>
      <w:r w:rsidRPr="645AB27E">
        <w:rPr>
          <w:rFonts w:eastAsiaTheme="minorEastAsia"/>
          <w:b/>
          <w:bCs/>
          <w:sz w:val="24"/>
          <w:szCs w:val="24"/>
        </w:rPr>
        <w:t>Preview → Engage → Review/Practice</w:t>
      </w:r>
      <w:r w:rsidRPr="645AB27E">
        <w:rPr>
          <w:rFonts w:eastAsiaTheme="minorEastAsia"/>
          <w:sz w:val="24"/>
          <w:szCs w:val="24"/>
        </w:rPr>
        <w:t>—you’re not just attending class; you’re building a durable foundation for understanding, recall, and academic success.</w:t>
      </w:r>
    </w:p>
    <w:p w14:paraId="1B04444F" w14:textId="3D616833" w:rsidR="7D7CCEDD" w:rsidRDefault="7D7CCEDD" w:rsidP="645AB27E">
      <w:pPr>
        <w:jc w:val="center"/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14FF201C" wp14:editId="06C870DB">
            <wp:extent cx="3505202" cy="4570782"/>
            <wp:effectExtent l="0" t="0" r="0" b="0"/>
            <wp:docPr id="1856033776" name="Picture 1856033776" descr="The study cycle. Attend, Review, Study, Assess, Previe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033776" name="Picture 1856033776" descr="The study cycle. Attend, Review, Study, Assess, Preview 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2" cy="457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26D24" w14:textId="6DB7B8CE" w:rsidR="645AB27E" w:rsidRDefault="645AB27E" w:rsidP="645AB27E">
      <w:pPr>
        <w:jc w:val="center"/>
        <w:rPr>
          <w:rFonts w:eastAsiaTheme="minorEastAsia"/>
        </w:rPr>
      </w:pPr>
    </w:p>
    <w:p w14:paraId="5D37985A" w14:textId="7583502C" w:rsidR="612504DA" w:rsidRPr="00391DC6" w:rsidRDefault="612504DA" w:rsidP="00391DC6">
      <w:pPr>
        <w:pStyle w:val="Heading3"/>
        <w:rPr>
          <w:rFonts w:eastAsiaTheme="minorEastAsia"/>
          <w:sz w:val="24"/>
          <w:szCs w:val="24"/>
        </w:rPr>
      </w:pPr>
      <w:r w:rsidRPr="00391DC6">
        <w:rPr>
          <w:rFonts w:eastAsiaTheme="minorEastAsia"/>
          <w:sz w:val="24"/>
          <w:szCs w:val="24"/>
        </w:rPr>
        <w:t>References:</w:t>
      </w:r>
    </w:p>
    <w:p w14:paraId="48D86766" w14:textId="1C3CAC1C" w:rsidR="612504DA" w:rsidRDefault="612504DA" w:rsidP="645AB27E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eastAsiaTheme="minorEastAsia"/>
        </w:rPr>
      </w:pPr>
      <w:r w:rsidRPr="645AB27E">
        <w:rPr>
          <w:rFonts w:eastAsiaTheme="minorEastAsia"/>
        </w:rPr>
        <w:t xml:space="preserve">Roediger, H. L., &amp; Karpicke, J. D. (2006). Test‑enhanced learning: Taking memory tests improves long‑term retention. </w:t>
      </w:r>
      <w:r w:rsidRPr="645AB27E">
        <w:rPr>
          <w:rFonts w:eastAsiaTheme="minorEastAsia"/>
          <w:i/>
          <w:iCs/>
        </w:rPr>
        <w:t>Psychological Science, 17</w:t>
      </w:r>
      <w:r w:rsidRPr="645AB27E">
        <w:rPr>
          <w:rFonts w:eastAsiaTheme="minorEastAsia"/>
        </w:rPr>
        <w:t xml:space="preserve">(3), 249–255. This foundational study highlights the benefits of retrieval practice as a powerful tool for memory. </w:t>
      </w:r>
    </w:p>
    <w:p w14:paraId="7BEDD4B4" w14:textId="013A74B8" w:rsidR="612504DA" w:rsidRDefault="612504DA" w:rsidP="645AB27E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eastAsiaTheme="minorEastAsia"/>
        </w:rPr>
      </w:pPr>
      <w:r w:rsidRPr="645AB27E">
        <w:rPr>
          <w:rFonts w:eastAsiaTheme="minorEastAsia"/>
        </w:rPr>
        <w:t xml:space="preserve">Cepeda, N. J., </w:t>
      </w:r>
      <w:proofErr w:type="spellStart"/>
      <w:r w:rsidRPr="645AB27E">
        <w:rPr>
          <w:rFonts w:eastAsiaTheme="minorEastAsia"/>
        </w:rPr>
        <w:t>Pashler</w:t>
      </w:r>
      <w:proofErr w:type="spellEnd"/>
      <w:r w:rsidRPr="645AB27E">
        <w:rPr>
          <w:rFonts w:eastAsiaTheme="minorEastAsia"/>
        </w:rPr>
        <w:t xml:space="preserve">, H., </w:t>
      </w:r>
      <w:proofErr w:type="spellStart"/>
      <w:r w:rsidRPr="645AB27E">
        <w:rPr>
          <w:rFonts w:eastAsiaTheme="minorEastAsia"/>
        </w:rPr>
        <w:t>Vul</w:t>
      </w:r>
      <w:proofErr w:type="spellEnd"/>
      <w:r w:rsidRPr="645AB27E">
        <w:rPr>
          <w:rFonts w:eastAsiaTheme="minorEastAsia"/>
        </w:rPr>
        <w:t xml:space="preserve">, E., Wixted, J. T., &amp; Rohrer, D. (2006). Distributed practice in verbal recall tasks: A review and quantitative synthesis. </w:t>
      </w:r>
      <w:r w:rsidRPr="645AB27E">
        <w:rPr>
          <w:rFonts w:eastAsiaTheme="minorEastAsia"/>
          <w:i/>
          <w:iCs/>
        </w:rPr>
        <w:t>Psychological Bulletin, 132</w:t>
      </w:r>
      <w:r w:rsidRPr="645AB27E">
        <w:rPr>
          <w:rFonts w:eastAsiaTheme="minorEastAsia"/>
        </w:rPr>
        <w:t xml:space="preserve">(3), 354–380. Demonstrates that spacing out study sessions enhances long-term retention. </w:t>
      </w:r>
    </w:p>
    <w:p w14:paraId="45334AFF" w14:textId="12537AC4" w:rsidR="612504DA" w:rsidRDefault="612504DA" w:rsidP="645AB27E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eastAsiaTheme="minorEastAsia"/>
        </w:rPr>
      </w:pPr>
      <w:r w:rsidRPr="645AB27E">
        <w:rPr>
          <w:rFonts w:eastAsiaTheme="minorEastAsia"/>
        </w:rPr>
        <w:t xml:space="preserve">Szpunar, K. K., Khan, N. Y., &amp; Schacter, D. L. (2013). Interpolated memory tests reduce mind wandering and improve learning of online lectures. </w:t>
      </w:r>
      <w:r w:rsidRPr="645AB27E">
        <w:rPr>
          <w:rFonts w:eastAsiaTheme="minorEastAsia"/>
          <w:i/>
          <w:iCs/>
        </w:rPr>
        <w:t>PNAS, 110</w:t>
      </w:r>
      <w:r w:rsidRPr="645AB27E">
        <w:rPr>
          <w:rFonts w:eastAsiaTheme="minorEastAsia"/>
        </w:rPr>
        <w:t>(15), 6313–6317. Shows that retrieval breaks during video lectures improve focus and learning.</w:t>
      </w:r>
    </w:p>
    <w:p w14:paraId="6ECB2848" w14:textId="7C2AD1B0" w:rsidR="612504DA" w:rsidRDefault="612504DA" w:rsidP="645AB27E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eastAsiaTheme="minorEastAsia"/>
        </w:rPr>
      </w:pPr>
      <w:r w:rsidRPr="645AB27E">
        <w:rPr>
          <w:rFonts w:eastAsiaTheme="minorEastAsia"/>
        </w:rPr>
        <w:t xml:space="preserve">Savoy, A., Proctor, R. W., &amp; Salvendy, G. (2009). Information retention from PowerPoint™ and traditional lectures. </w:t>
      </w:r>
      <w:r w:rsidRPr="645AB27E">
        <w:rPr>
          <w:rFonts w:eastAsiaTheme="minorEastAsia"/>
          <w:i/>
          <w:iCs/>
        </w:rPr>
        <w:t>Computers &amp; Education, 52</w:t>
      </w:r>
      <w:r w:rsidRPr="645AB27E">
        <w:rPr>
          <w:rFonts w:eastAsiaTheme="minorEastAsia"/>
        </w:rPr>
        <w:t>(4), 858–867. Compares formats and emphasizes the importance of active engagement in lecture design.</w:t>
      </w:r>
    </w:p>
    <w:p w14:paraId="073FEBD1" w14:textId="4B0243CB" w:rsidR="612504DA" w:rsidRDefault="612504DA" w:rsidP="645AB27E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eastAsiaTheme="minorEastAsia"/>
        </w:rPr>
      </w:pPr>
      <w:r w:rsidRPr="645AB27E">
        <w:rPr>
          <w:rFonts w:eastAsiaTheme="minorEastAsia"/>
        </w:rPr>
        <w:t xml:space="preserve">Griffiths, P., &amp; Cook, E. (2022). Using the study cycle model to support better student learning: A faculty guide. </w:t>
      </w:r>
      <w:r w:rsidRPr="645AB27E">
        <w:rPr>
          <w:rFonts w:eastAsiaTheme="minorEastAsia"/>
          <w:i/>
          <w:iCs/>
        </w:rPr>
        <w:t>Advances in Physiology Education</w:t>
      </w:r>
      <w:r w:rsidRPr="645AB27E">
        <w:rPr>
          <w:rFonts w:eastAsiaTheme="minorEastAsia"/>
        </w:rPr>
        <w:t xml:space="preserve">. Summarizes practical implementation of preview–engage–review for instructors. </w:t>
      </w:r>
    </w:p>
    <w:p w14:paraId="2DC03991" w14:textId="019D2E22" w:rsidR="645AB27E" w:rsidRDefault="645AB27E" w:rsidP="645AB27E">
      <w:pPr>
        <w:jc w:val="center"/>
        <w:rPr>
          <w:rFonts w:eastAsiaTheme="minorEastAsia"/>
        </w:rPr>
      </w:pPr>
    </w:p>
    <w:sectPr w:rsidR="645AB27E" w:rsidSect="00570CF4">
      <w:headerReference w:type="default" r:id="rId12"/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D83C4" w14:textId="77777777" w:rsidR="00391DC6" w:rsidRDefault="00391DC6">
      <w:pPr>
        <w:spacing w:after="0" w:line="240" w:lineRule="auto"/>
      </w:pPr>
      <w:r>
        <w:separator/>
      </w:r>
    </w:p>
  </w:endnote>
  <w:endnote w:type="continuationSeparator" w:id="0">
    <w:p w14:paraId="2D702F44" w14:textId="77777777" w:rsidR="00391DC6" w:rsidRDefault="0039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FB6BC" w14:textId="1BA06EBD" w:rsidR="645AB27E" w:rsidRDefault="645AB27E" w:rsidP="645AB27E">
    <w:pPr>
      <w:pStyle w:val="Footer"/>
      <w:jc w:val="right"/>
    </w:pPr>
    <w:r>
      <w:t>Updated: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E726E" w14:textId="77777777" w:rsidR="00391DC6" w:rsidRDefault="00391DC6">
      <w:pPr>
        <w:spacing w:after="0" w:line="240" w:lineRule="auto"/>
      </w:pPr>
      <w:r>
        <w:separator/>
      </w:r>
    </w:p>
  </w:footnote>
  <w:footnote w:type="continuationSeparator" w:id="0">
    <w:p w14:paraId="6852A81B" w14:textId="77777777" w:rsidR="00391DC6" w:rsidRDefault="00391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04900" w14:textId="5A367377" w:rsidR="645AB27E" w:rsidRDefault="645AB27E">
    <w:r>
      <w:rPr>
        <w:noProof/>
      </w:rPr>
      <w:drawing>
        <wp:inline distT="0" distB="0" distL="0" distR="0" wp14:anchorId="747F2712" wp14:editId="3808D2B9">
          <wp:extent cx="6734695" cy="609125"/>
          <wp:effectExtent l="0" t="0" r="0" b="0"/>
          <wp:docPr id="653862923" name="Picture 653862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4695" cy="60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EEC97"/>
    <w:multiLevelType w:val="hybridMultilevel"/>
    <w:tmpl w:val="9C06009C"/>
    <w:lvl w:ilvl="0" w:tplc="9F7CC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2F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8A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2A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49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AA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6C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26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2AA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C3E8"/>
    <w:multiLevelType w:val="hybridMultilevel"/>
    <w:tmpl w:val="AB5C587A"/>
    <w:lvl w:ilvl="0" w:tplc="9682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8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0A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8E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8B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6B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6C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A9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D03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40814"/>
    <w:multiLevelType w:val="multilevel"/>
    <w:tmpl w:val="2E7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CCCE42"/>
    <w:multiLevelType w:val="hybridMultilevel"/>
    <w:tmpl w:val="B4745200"/>
    <w:lvl w:ilvl="0" w:tplc="2C204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48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60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4A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A0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28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E9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6A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08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3D9F"/>
    <w:multiLevelType w:val="multilevel"/>
    <w:tmpl w:val="56F2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8B3CF"/>
    <w:multiLevelType w:val="hybridMultilevel"/>
    <w:tmpl w:val="7C843358"/>
    <w:lvl w:ilvl="0" w:tplc="4906C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29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4F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E0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2A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F47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CD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21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82B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8F4AF"/>
    <w:multiLevelType w:val="hybridMultilevel"/>
    <w:tmpl w:val="C62893C6"/>
    <w:lvl w:ilvl="0" w:tplc="9392B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64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BA9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6A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8F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C9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08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E6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0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03016">
    <w:abstractNumId w:val="0"/>
  </w:num>
  <w:num w:numId="2" w16cid:durableId="1455246050">
    <w:abstractNumId w:val="1"/>
  </w:num>
  <w:num w:numId="3" w16cid:durableId="936986392">
    <w:abstractNumId w:val="3"/>
  </w:num>
  <w:num w:numId="4" w16cid:durableId="824203557">
    <w:abstractNumId w:val="5"/>
  </w:num>
  <w:num w:numId="5" w16cid:durableId="818960025">
    <w:abstractNumId w:val="6"/>
  </w:num>
  <w:num w:numId="6" w16cid:durableId="63142158">
    <w:abstractNumId w:val="2"/>
  </w:num>
  <w:num w:numId="7" w16cid:durableId="639960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A0"/>
    <w:rsid w:val="00113770"/>
    <w:rsid w:val="002305A0"/>
    <w:rsid w:val="00391DC6"/>
    <w:rsid w:val="00570CF4"/>
    <w:rsid w:val="00572B9C"/>
    <w:rsid w:val="00991928"/>
    <w:rsid w:val="00C77003"/>
    <w:rsid w:val="00EB5BBF"/>
    <w:rsid w:val="00FB070A"/>
    <w:rsid w:val="0413A88A"/>
    <w:rsid w:val="0596BAA0"/>
    <w:rsid w:val="07DA0EBD"/>
    <w:rsid w:val="0E7D873A"/>
    <w:rsid w:val="10268249"/>
    <w:rsid w:val="194441AF"/>
    <w:rsid w:val="1CD87C13"/>
    <w:rsid w:val="219FC84B"/>
    <w:rsid w:val="23F6A1F5"/>
    <w:rsid w:val="29E8E428"/>
    <w:rsid w:val="2DC8FD32"/>
    <w:rsid w:val="33280788"/>
    <w:rsid w:val="3ADBAE80"/>
    <w:rsid w:val="3C12F56B"/>
    <w:rsid w:val="4154FD2A"/>
    <w:rsid w:val="46860118"/>
    <w:rsid w:val="4EC4E911"/>
    <w:rsid w:val="4EFD5E33"/>
    <w:rsid w:val="53832CFC"/>
    <w:rsid w:val="568D5C53"/>
    <w:rsid w:val="612504DA"/>
    <w:rsid w:val="639AC3F6"/>
    <w:rsid w:val="645AB27E"/>
    <w:rsid w:val="71ECF930"/>
    <w:rsid w:val="730E8047"/>
    <w:rsid w:val="738ADE5E"/>
    <w:rsid w:val="7D7CC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1BE6"/>
  <w15:chartTrackingRefBased/>
  <w15:docId w15:val="{EE84EAF1-4A57-4256-B335-0D5D8156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0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391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36"/>
      <w:lang w:eastAsia="en-CA"/>
      <w14:ligatures w14:val="none"/>
    </w:rPr>
  </w:style>
  <w:style w:type="paragraph" w:styleId="Heading3">
    <w:name w:val="heading 3"/>
    <w:basedOn w:val="Normal"/>
    <w:next w:val="Normal"/>
    <w:uiPriority w:val="9"/>
    <w:unhideWhenUsed/>
    <w:qFormat/>
    <w:rsid w:val="645AB2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5A0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91DC6"/>
    <w:rPr>
      <w:rFonts w:ascii="Times New Roman" w:eastAsia="Times New Roman" w:hAnsi="Times New Roman" w:cs="Times New Roman"/>
      <w:b/>
      <w:bCs/>
      <w:kern w:val="0"/>
      <w:sz w:val="28"/>
      <w:szCs w:val="36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3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305A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05A0"/>
    <w:rPr>
      <w:b/>
      <w:bCs/>
    </w:rPr>
  </w:style>
  <w:style w:type="paragraph" w:styleId="ListParagraph">
    <w:name w:val="List Paragraph"/>
    <w:basedOn w:val="Normal"/>
    <w:uiPriority w:val="34"/>
    <w:qFormat/>
    <w:rsid w:val="2DC8FD32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645AB27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45AB27E"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91D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D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93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acultyfocus.com/articles/teaching-and-learning/study-strategies-class/?utm_source=chatgp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B90419B5-5273-4B88-8C67-674E95700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3ec2c-7178-408a-a8d0-ff39054554d1"/>
    <ds:schemaRef ds:uri="8ea0de75-6518-4d3f-b5e2-6ac46d5c6dfa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4BB99-F12B-469F-A2AC-78218E26B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D1BA-B943-49AA-8B46-D866D2D0601C}">
  <ds:schemaRefs>
    <ds:schemaRef ds:uri="http://schemas.microsoft.com/office/2006/metadata/properties"/>
    <ds:schemaRef ds:uri="http://schemas.microsoft.com/office/infopath/2007/PartnerControls"/>
    <ds:schemaRef ds:uri="cb03ec2c-7178-408a-a8d0-ff39054554d1"/>
    <ds:schemaRef ds:uri="ac3b9fd6-5397-4331-80b5-7c5a2866cf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Messenger</dc:creator>
  <cp:keywords/>
  <dc:description/>
  <cp:lastModifiedBy>Brittany Messenger</cp:lastModifiedBy>
  <cp:revision>2</cp:revision>
  <dcterms:created xsi:type="dcterms:W3CDTF">2025-07-23T16:03:00Z</dcterms:created>
  <dcterms:modified xsi:type="dcterms:W3CDTF">2025-07-23T16:03:00Z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MediaServiceImageTags">
    <vt:lpwstr/>
  </property>
</Properties>
</file>