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EFD0" w14:textId="37FDF956" w:rsidR="00303EF6" w:rsidRPr="008A496B" w:rsidRDefault="00BF179D" w:rsidP="00931C41">
      <w:pPr>
        <w:pStyle w:val="Title"/>
        <w:jc w:val="center"/>
        <w:rPr>
          <w:rFonts w:ascii="Calibri" w:hAnsi="Calibri" w:cs="Calibri"/>
          <w:color w:val="000000" w:themeColor="text1"/>
        </w:rPr>
      </w:pPr>
      <w:r w:rsidRPr="008A496B">
        <w:rPr>
          <w:rFonts w:ascii="Calibri" w:hAnsi="Calibri" w:cs="Calibri"/>
          <w:color w:val="000000" w:themeColor="text1"/>
        </w:rPr>
        <w:t>A Wandering Mind</w:t>
      </w:r>
    </w:p>
    <w:p w14:paraId="74317139" w14:textId="77777777" w:rsidR="00A91A8D" w:rsidRPr="008A496B" w:rsidRDefault="00A91A8D" w:rsidP="00A91A8D">
      <w:pPr>
        <w:spacing w:after="0" w:line="240" w:lineRule="auto"/>
        <w:ind w:left="0" w:right="-88" w:firstLine="0"/>
        <w:jc w:val="center"/>
        <w:rPr>
          <w:color w:val="000000" w:themeColor="text1"/>
          <w:sz w:val="18"/>
          <w:szCs w:val="18"/>
        </w:rPr>
      </w:pPr>
    </w:p>
    <w:p w14:paraId="2C9E5087" w14:textId="2EAEFED5" w:rsidR="00581406" w:rsidRPr="008A496B" w:rsidRDefault="00581406" w:rsidP="008A496B">
      <w:pPr>
        <w:pStyle w:val="Heading1"/>
        <w:rPr>
          <w:rFonts w:ascii="Calibri" w:hAnsi="Calibri" w:cs="Calibri"/>
          <w:color w:val="000000" w:themeColor="text1"/>
        </w:rPr>
      </w:pPr>
      <w:r w:rsidRPr="008A496B">
        <w:rPr>
          <w:rFonts w:ascii="Calibri" w:hAnsi="Calibri" w:cs="Calibri"/>
          <w:color w:val="000000" w:themeColor="text1"/>
        </w:rPr>
        <w:t>The Wandering Mind and How to Stay Focused</w:t>
      </w:r>
      <w:r w:rsidR="00A91A8D" w:rsidRPr="008A496B">
        <w:rPr>
          <w:rFonts w:ascii="Calibri" w:hAnsi="Calibri" w:cs="Calibri"/>
          <w:color w:val="000000" w:themeColor="text1"/>
        </w:rPr>
        <w:t>:</w:t>
      </w:r>
    </w:p>
    <w:p w14:paraId="50840ACE" w14:textId="7AC0D53F" w:rsidR="00581406" w:rsidRPr="008A496B" w:rsidRDefault="00581406" w:rsidP="008A496B">
      <w:pPr>
        <w:rPr>
          <w:color w:val="000000" w:themeColor="text1"/>
        </w:rPr>
      </w:pPr>
      <w:r w:rsidRPr="008A496B">
        <w:rPr>
          <w:color w:val="000000" w:themeColor="text1"/>
        </w:rPr>
        <w:t>It's completely natural for the human mind to wander</w:t>
      </w:r>
      <w:r w:rsidR="0077658D" w:rsidRPr="008A496B">
        <w:rPr>
          <w:color w:val="000000" w:themeColor="text1"/>
        </w:rPr>
        <w:t xml:space="preserve"> </w:t>
      </w:r>
      <w:r w:rsidRPr="008A496B">
        <w:rPr>
          <w:color w:val="000000" w:themeColor="text1"/>
        </w:rPr>
        <w:t>especially when trying to study or complete academic tasks. Research shows that our minds drift away from the task at hand roughly 30–50% of the time (Killingsworth &amp; Gilbert, 2010). For students with disabilities such as ADHD, specific learning disorders (SLDs), or anxiety, these lapses in attention can occur even more frequently, making sustained focus especially challenging (Barkley, 2020; Mayes &amp; Calhoun, 2007).</w:t>
      </w:r>
    </w:p>
    <w:p w14:paraId="2AB885B1" w14:textId="4392D1CF" w:rsidR="00A91A8D" w:rsidRPr="008A496B" w:rsidRDefault="00581406" w:rsidP="008A496B">
      <w:pPr>
        <w:rPr>
          <w:color w:val="000000" w:themeColor="text1"/>
        </w:rPr>
      </w:pPr>
      <w:r w:rsidRPr="008A496B">
        <w:rPr>
          <w:color w:val="000000" w:themeColor="text1"/>
        </w:rPr>
        <w:t>The good news? There are several research-backed strategies to help refocus attention and minimize mental drift.</w:t>
      </w:r>
    </w:p>
    <w:p w14:paraId="281B7D87" w14:textId="0A72F5F1" w:rsidR="00581406" w:rsidRPr="008A496B" w:rsidRDefault="00581406" w:rsidP="008A496B">
      <w:pPr>
        <w:pStyle w:val="Heading1"/>
        <w:rPr>
          <w:rFonts w:ascii="Calibri" w:hAnsi="Calibri" w:cs="Calibri"/>
          <w:color w:val="000000" w:themeColor="text1"/>
        </w:rPr>
      </w:pPr>
      <w:r w:rsidRPr="008A496B">
        <w:rPr>
          <w:rFonts w:ascii="Calibri" w:hAnsi="Calibri" w:cs="Calibri"/>
          <w:color w:val="000000" w:themeColor="text1"/>
        </w:rPr>
        <w:t>Evidence-Based Strategies to Improve Focus</w:t>
      </w:r>
      <w:r w:rsidR="00A91A8D" w:rsidRPr="008A496B">
        <w:rPr>
          <w:rFonts w:ascii="Calibri" w:hAnsi="Calibri" w:cs="Calibri"/>
          <w:color w:val="000000" w:themeColor="text1"/>
        </w:rPr>
        <w:t>:</w:t>
      </w:r>
    </w:p>
    <w:p w14:paraId="41AB74AB" w14:textId="77777777"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t>1. The Pomodoro Technique</w:t>
      </w:r>
    </w:p>
    <w:p w14:paraId="69A788AE" w14:textId="77777777" w:rsidR="00581406" w:rsidRPr="008A496B" w:rsidRDefault="00581406" w:rsidP="008A496B">
      <w:pPr>
        <w:rPr>
          <w:color w:val="000000" w:themeColor="text1"/>
        </w:rPr>
      </w:pPr>
      <w:r w:rsidRPr="008A496B">
        <w:rPr>
          <w:color w:val="000000" w:themeColor="text1"/>
        </w:rPr>
        <w:t>This time management method uses short, focused work intervals (typically 25 minutes), followed by short breaks (5 minutes). It reduces cognitive fatigue and trains your brain to sustain focus in manageable bursts.</w:t>
      </w:r>
    </w:p>
    <w:p w14:paraId="771483CE" w14:textId="77777777" w:rsidR="00D559BF" w:rsidRPr="008A496B" w:rsidRDefault="00D559BF" w:rsidP="00A91A8D">
      <w:pPr>
        <w:spacing w:after="0" w:line="240" w:lineRule="auto"/>
        <w:ind w:left="0" w:firstLine="0"/>
        <w:rPr>
          <w:b/>
          <w:bCs/>
          <w:color w:val="000000" w:themeColor="text1"/>
        </w:rPr>
      </w:pPr>
    </w:p>
    <w:p w14:paraId="6AF487D1" w14:textId="579B2CDA"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t>2. Mindfulness Meditation</w:t>
      </w:r>
    </w:p>
    <w:p w14:paraId="420B51BD" w14:textId="77777777" w:rsidR="00581406" w:rsidRPr="008A496B" w:rsidRDefault="00581406" w:rsidP="00A91A8D">
      <w:pPr>
        <w:spacing w:after="0" w:line="240" w:lineRule="auto"/>
        <w:ind w:left="0" w:firstLine="0"/>
        <w:rPr>
          <w:color w:val="000000" w:themeColor="text1"/>
        </w:rPr>
      </w:pPr>
      <w:r w:rsidRPr="008A496B">
        <w:rPr>
          <w:color w:val="000000" w:themeColor="text1"/>
        </w:rPr>
        <w:t>Mindfulness teaches you to become aware of when your attention has wandered and how to gently bring it back. Studies show regular practice enhances working memory and reduces stress.</w:t>
      </w:r>
    </w:p>
    <w:p w14:paraId="5B15CFF8" w14:textId="77777777" w:rsidR="00D559BF" w:rsidRPr="008A496B" w:rsidRDefault="00D559BF" w:rsidP="00A91A8D">
      <w:pPr>
        <w:spacing w:after="0" w:line="240" w:lineRule="auto"/>
        <w:ind w:left="0" w:firstLine="0"/>
        <w:rPr>
          <w:b/>
          <w:bCs/>
          <w:color w:val="000000" w:themeColor="text1"/>
        </w:rPr>
      </w:pPr>
    </w:p>
    <w:p w14:paraId="4851A051" w14:textId="69116327"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t>3. Goal Setting with Implementation Intentions</w:t>
      </w:r>
    </w:p>
    <w:p w14:paraId="7E800DC0" w14:textId="77777777" w:rsidR="00581406" w:rsidRPr="008A496B" w:rsidRDefault="00581406" w:rsidP="00A91A8D">
      <w:pPr>
        <w:spacing w:after="0" w:line="240" w:lineRule="auto"/>
        <w:ind w:left="0" w:firstLine="0"/>
        <w:rPr>
          <w:color w:val="000000" w:themeColor="text1"/>
        </w:rPr>
      </w:pPr>
      <w:r w:rsidRPr="008A496B">
        <w:rPr>
          <w:color w:val="000000" w:themeColor="text1"/>
        </w:rPr>
        <w:t>Instead of vague goals (“I’ll study today”), implementation intentions use specific if–then planning (“If it’s 6 p.m., I will go to the library to revise Chapter 3”). This method enhances follow-through and reduces distraction.</w:t>
      </w:r>
    </w:p>
    <w:p w14:paraId="7921D096" w14:textId="77777777" w:rsidR="00D559BF" w:rsidRPr="008A496B" w:rsidRDefault="00D559BF" w:rsidP="00A91A8D">
      <w:pPr>
        <w:spacing w:after="0" w:line="240" w:lineRule="auto"/>
        <w:ind w:left="0" w:firstLine="0"/>
        <w:rPr>
          <w:b/>
          <w:bCs/>
          <w:color w:val="000000" w:themeColor="text1"/>
        </w:rPr>
      </w:pPr>
    </w:p>
    <w:p w14:paraId="09E4F3D4" w14:textId="6ED84025"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t>4. Active Note</w:t>
      </w:r>
      <w:r w:rsidR="002160AE" w:rsidRPr="008A496B">
        <w:rPr>
          <w:rFonts w:ascii="Calibri" w:hAnsi="Calibri" w:cs="Calibri"/>
          <w:color w:val="000000" w:themeColor="text1"/>
        </w:rPr>
        <w:t>t</w:t>
      </w:r>
      <w:r w:rsidRPr="008A496B">
        <w:rPr>
          <w:rFonts w:ascii="Calibri" w:hAnsi="Calibri" w:cs="Calibri"/>
          <w:color w:val="000000" w:themeColor="text1"/>
        </w:rPr>
        <w:t>aking and Retrieval Practice</w:t>
      </w:r>
    </w:p>
    <w:p w14:paraId="2F6AD3B9" w14:textId="77777777" w:rsidR="00581406" w:rsidRPr="008A496B" w:rsidRDefault="00581406" w:rsidP="00A91A8D">
      <w:pPr>
        <w:spacing w:after="0" w:line="240" w:lineRule="auto"/>
        <w:ind w:left="0" w:firstLine="0"/>
        <w:rPr>
          <w:color w:val="000000" w:themeColor="text1"/>
        </w:rPr>
      </w:pPr>
      <w:r w:rsidRPr="008A496B">
        <w:rPr>
          <w:color w:val="000000" w:themeColor="text1"/>
        </w:rPr>
        <w:t>Using methods like Cornell Notes or retrieval practice (testing yourself without notes) keeps your brain engaged and strengthens memory pathways.</w:t>
      </w:r>
    </w:p>
    <w:p w14:paraId="7BFB6F27" w14:textId="77777777" w:rsidR="00D559BF" w:rsidRPr="008A496B" w:rsidRDefault="00D559BF" w:rsidP="00A91A8D">
      <w:pPr>
        <w:spacing w:after="0" w:line="240" w:lineRule="auto"/>
        <w:ind w:left="0" w:firstLine="0"/>
        <w:rPr>
          <w:b/>
          <w:bCs/>
          <w:color w:val="000000" w:themeColor="text1"/>
        </w:rPr>
      </w:pPr>
    </w:p>
    <w:p w14:paraId="6033FFCE" w14:textId="214C0228"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t>5. Environmental Design</w:t>
      </w:r>
    </w:p>
    <w:p w14:paraId="45E97C32" w14:textId="77777777" w:rsidR="00581406" w:rsidRPr="008A496B" w:rsidRDefault="00581406" w:rsidP="00A91A8D">
      <w:pPr>
        <w:spacing w:after="0" w:line="240" w:lineRule="auto"/>
        <w:ind w:left="0" w:firstLine="0"/>
        <w:rPr>
          <w:color w:val="000000" w:themeColor="text1"/>
        </w:rPr>
      </w:pPr>
      <w:r w:rsidRPr="008A496B">
        <w:rPr>
          <w:color w:val="000000" w:themeColor="text1"/>
        </w:rPr>
        <w:t>Clear your workspace of distractions and use external reminders (timers, sticky notes, noise-canceling headphones). The environment acts as a cue for sustained attention.</w:t>
      </w:r>
    </w:p>
    <w:p w14:paraId="040533DB" w14:textId="77777777" w:rsidR="00D559BF" w:rsidRPr="008A496B" w:rsidRDefault="00D559BF" w:rsidP="00A91A8D">
      <w:pPr>
        <w:spacing w:after="0" w:line="240" w:lineRule="auto"/>
        <w:ind w:left="0" w:firstLine="0"/>
        <w:rPr>
          <w:b/>
          <w:bCs/>
          <w:color w:val="000000" w:themeColor="text1"/>
        </w:rPr>
      </w:pPr>
    </w:p>
    <w:p w14:paraId="04C3226B" w14:textId="77E414F7"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t>6. Cognitive Offloading</w:t>
      </w:r>
    </w:p>
    <w:p w14:paraId="4D0C0E54" w14:textId="77777777" w:rsidR="00581406" w:rsidRPr="008A496B" w:rsidRDefault="00581406" w:rsidP="00A91A8D">
      <w:pPr>
        <w:spacing w:after="0" w:line="240" w:lineRule="auto"/>
        <w:ind w:left="0" w:firstLine="0"/>
        <w:rPr>
          <w:color w:val="000000" w:themeColor="text1"/>
        </w:rPr>
      </w:pPr>
      <w:r w:rsidRPr="008A496B">
        <w:rPr>
          <w:color w:val="000000" w:themeColor="text1"/>
        </w:rPr>
        <w:t>Write things down! Using planners, to-do lists, and visual schedules reduces the load on your working memory and makes it easier to stay on task.</w:t>
      </w:r>
    </w:p>
    <w:p w14:paraId="4E8C7C73" w14:textId="77777777" w:rsidR="00A91A8D" w:rsidRPr="008A496B" w:rsidRDefault="00A91A8D" w:rsidP="00A91A8D">
      <w:pPr>
        <w:spacing w:after="0" w:line="240" w:lineRule="auto"/>
        <w:ind w:left="0" w:firstLine="0"/>
        <w:rPr>
          <w:b/>
          <w:bCs/>
          <w:color w:val="000000" w:themeColor="text1"/>
        </w:rPr>
      </w:pPr>
    </w:p>
    <w:p w14:paraId="7F54ADA4" w14:textId="03EDA2D5" w:rsidR="00581406" w:rsidRPr="008A496B" w:rsidRDefault="00581406" w:rsidP="008A496B">
      <w:pPr>
        <w:pStyle w:val="Heading2"/>
        <w:rPr>
          <w:rFonts w:ascii="Calibri" w:hAnsi="Calibri" w:cs="Calibri"/>
          <w:color w:val="000000" w:themeColor="text1"/>
        </w:rPr>
      </w:pPr>
      <w:r w:rsidRPr="008A496B">
        <w:rPr>
          <w:rFonts w:ascii="Calibri" w:hAnsi="Calibri" w:cs="Calibri"/>
          <w:color w:val="000000" w:themeColor="text1"/>
        </w:rPr>
        <w:lastRenderedPageBreak/>
        <w:t>7. Limiting Multitasking</w:t>
      </w:r>
    </w:p>
    <w:p w14:paraId="56F1FA93" w14:textId="2335536B" w:rsidR="00A91A8D" w:rsidRPr="008A496B" w:rsidRDefault="00581406" w:rsidP="00A91A8D">
      <w:pPr>
        <w:spacing w:after="0" w:line="240" w:lineRule="auto"/>
        <w:ind w:left="0" w:firstLine="0"/>
        <w:rPr>
          <w:color w:val="000000" w:themeColor="text1"/>
        </w:rPr>
      </w:pPr>
      <w:r w:rsidRPr="008A496B">
        <w:rPr>
          <w:color w:val="000000" w:themeColor="text1"/>
        </w:rPr>
        <w:t xml:space="preserve">Multitasking, like studying while texting, significantly impairs memory and learning. Instead, use </w:t>
      </w:r>
      <w:proofErr w:type="gramStart"/>
      <w:r w:rsidRPr="008A496B">
        <w:rPr>
          <w:color w:val="000000" w:themeColor="text1"/>
        </w:rPr>
        <w:t>mono-tasking</w:t>
      </w:r>
      <w:proofErr w:type="gramEnd"/>
      <w:r w:rsidRPr="008A496B">
        <w:rPr>
          <w:color w:val="000000" w:themeColor="text1"/>
        </w:rPr>
        <w:t>: one task at a time, one goal at a time.</w:t>
      </w:r>
    </w:p>
    <w:p w14:paraId="60E347EB" w14:textId="748508C9" w:rsidR="00581406" w:rsidRPr="008A496B" w:rsidRDefault="00581406" w:rsidP="008A496B">
      <w:pPr>
        <w:pStyle w:val="Heading1"/>
        <w:rPr>
          <w:rFonts w:ascii="Calibri" w:hAnsi="Calibri" w:cs="Calibri"/>
          <w:color w:val="000000" w:themeColor="text1"/>
        </w:rPr>
      </w:pPr>
      <w:r w:rsidRPr="008A496B">
        <w:rPr>
          <w:rFonts w:ascii="Calibri" w:hAnsi="Calibri" w:cs="Calibri"/>
          <w:color w:val="000000" w:themeColor="text1"/>
        </w:rPr>
        <w:t>Final Tips for Learners with Disabilities</w:t>
      </w:r>
      <w:r w:rsidR="00A91A8D" w:rsidRPr="008A496B">
        <w:rPr>
          <w:rFonts w:ascii="Calibri" w:hAnsi="Calibri" w:cs="Calibri"/>
          <w:color w:val="000000" w:themeColor="text1"/>
        </w:rPr>
        <w:t>:</w:t>
      </w:r>
    </w:p>
    <w:p w14:paraId="0A4AEF8C" w14:textId="77777777" w:rsidR="00581406" w:rsidRPr="008A496B" w:rsidRDefault="00581406" w:rsidP="00A91A8D">
      <w:pPr>
        <w:numPr>
          <w:ilvl w:val="0"/>
          <w:numId w:val="10"/>
        </w:numPr>
        <w:spacing w:after="0" w:line="240" w:lineRule="auto"/>
        <w:rPr>
          <w:color w:val="000000" w:themeColor="text1"/>
        </w:rPr>
      </w:pPr>
      <w:r w:rsidRPr="008A496B">
        <w:rPr>
          <w:b/>
          <w:bCs/>
          <w:color w:val="000000" w:themeColor="text1"/>
        </w:rPr>
        <w:t>Self-monitoring tools</w:t>
      </w:r>
      <w:r w:rsidRPr="008A496B">
        <w:rPr>
          <w:color w:val="000000" w:themeColor="text1"/>
        </w:rPr>
        <w:t xml:space="preserve"> like checklists and timers can keep you accountable.</w:t>
      </w:r>
    </w:p>
    <w:p w14:paraId="77D473EB" w14:textId="77777777" w:rsidR="00581406" w:rsidRPr="008A496B" w:rsidRDefault="00581406" w:rsidP="00A91A8D">
      <w:pPr>
        <w:numPr>
          <w:ilvl w:val="0"/>
          <w:numId w:val="10"/>
        </w:numPr>
        <w:spacing w:after="0" w:line="240" w:lineRule="auto"/>
        <w:rPr>
          <w:color w:val="000000" w:themeColor="text1"/>
        </w:rPr>
      </w:pPr>
      <w:r w:rsidRPr="008A496B">
        <w:rPr>
          <w:b/>
          <w:bCs/>
          <w:color w:val="000000" w:themeColor="text1"/>
        </w:rPr>
        <w:t>Schedule shorter study blocks</w:t>
      </w:r>
      <w:r w:rsidRPr="008A496B">
        <w:rPr>
          <w:color w:val="000000" w:themeColor="text1"/>
        </w:rPr>
        <w:t xml:space="preserve"> with clear goals (e.g., “I will solve five math problems, then take a 5-min break”).</w:t>
      </w:r>
    </w:p>
    <w:p w14:paraId="2C700911" w14:textId="77777777" w:rsidR="00581406" w:rsidRPr="008A496B" w:rsidRDefault="00581406" w:rsidP="00A91A8D">
      <w:pPr>
        <w:numPr>
          <w:ilvl w:val="0"/>
          <w:numId w:val="10"/>
        </w:numPr>
        <w:spacing w:after="0" w:line="240" w:lineRule="auto"/>
        <w:rPr>
          <w:color w:val="000000" w:themeColor="text1"/>
        </w:rPr>
      </w:pPr>
      <w:r w:rsidRPr="008A496B">
        <w:rPr>
          <w:b/>
          <w:bCs/>
          <w:color w:val="000000" w:themeColor="text1"/>
        </w:rPr>
        <w:t>Use assistive tech</w:t>
      </w:r>
      <w:r w:rsidRPr="008A496B">
        <w:rPr>
          <w:color w:val="000000" w:themeColor="text1"/>
        </w:rPr>
        <w:t xml:space="preserve"> (e.g., browser blockers, focus apps, fidget tools) to match your specific needs.</w:t>
      </w:r>
    </w:p>
    <w:p w14:paraId="61188D0B" w14:textId="77777777" w:rsidR="00581406" w:rsidRPr="008A496B" w:rsidRDefault="00581406" w:rsidP="00A91A8D">
      <w:pPr>
        <w:numPr>
          <w:ilvl w:val="0"/>
          <w:numId w:val="10"/>
        </w:numPr>
        <w:spacing w:after="0" w:line="240" w:lineRule="auto"/>
        <w:rPr>
          <w:color w:val="000000" w:themeColor="text1"/>
        </w:rPr>
      </w:pPr>
      <w:r w:rsidRPr="008A496B">
        <w:rPr>
          <w:b/>
          <w:bCs/>
          <w:color w:val="000000" w:themeColor="text1"/>
        </w:rPr>
        <w:t>Build routines</w:t>
      </w:r>
      <w:r w:rsidRPr="008A496B">
        <w:rPr>
          <w:color w:val="000000" w:themeColor="text1"/>
        </w:rPr>
        <w:t xml:space="preserve"> to reduce decision fatigue and make focus automatic.</w:t>
      </w:r>
    </w:p>
    <w:p w14:paraId="05E7BDDC" w14:textId="485C16E5" w:rsidR="00581406" w:rsidRPr="008A496B" w:rsidRDefault="00581406" w:rsidP="00A91A8D">
      <w:pPr>
        <w:spacing w:after="0" w:line="240" w:lineRule="auto"/>
        <w:ind w:left="0" w:firstLine="0"/>
        <w:rPr>
          <w:color w:val="000000" w:themeColor="text1"/>
        </w:rPr>
      </w:pPr>
    </w:p>
    <w:p w14:paraId="1841648D" w14:textId="77777777" w:rsidR="001807D2" w:rsidRPr="008A496B" w:rsidRDefault="001807D2" w:rsidP="00A91A8D">
      <w:pPr>
        <w:spacing w:after="0" w:line="240" w:lineRule="auto"/>
        <w:ind w:left="0" w:firstLine="0"/>
        <w:rPr>
          <w:color w:val="000000" w:themeColor="text1"/>
        </w:rPr>
      </w:pPr>
    </w:p>
    <w:p w14:paraId="6D3CE85B" w14:textId="77777777" w:rsidR="001807D2" w:rsidRPr="008A496B" w:rsidRDefault="001807D2" w:rsidP="00A91A8D">
      <w:pPr>
        <w:spacing w:after="0" w:line="240" w:lineRule="auto"/>
        <w:ind w:left="0" w:firstLine="0"/>
        <w:rPr>
          <w:color w:val="000000" w:themeColor="text1"/>
        </w:rPr>
      </w:pPr>
    </w:p>
    <w:p w14:paraId="3AEDE839" w14:textId="77777777" w:rsidR="001807D2" w:rsidRPr="008A496B" w:rsidRDefault="001807D2" w:rsidP="00A91A8D">
      <w:pPr>
        <w:spacing w:after="0" w:line="240" w:lineRule="auto"/>
        <w:ind w:left="0" w:firstLine="0"/>
        <w:rPr>
          <w:color w:val="000000" w:themeColor="text1"/>
        </w:rPr>
      </w:pPr>
    </w:p>
    <w:p w14:paraId="20FA5B36" w14:textId="77777777" w:rsidR="001807D2" w:rsidRPr="008A496B" w:rsidRDefault="001807D2" w:rsidP="00A91A8D">
      <w:pPr>
        <w:spacing w:after="0" w:line="240" w:lineRule="auto"/>
        <w:ind w:left="0" w:firstLine="0"/>
        <w:rPr>
          <w:color w:val="000000" w:themeColor="text1"/>
        </w:rPr>
      </w:pPr>
    </w:p>
    <w:p w14:paraId="2BD03F39" w14:textId="77777777" w:rsidR="001807D2" w:rsidRPr="008A496B" w:rsidRDefault="001807D2" w:rsidP="00A91A8D">
      <w:pPr>
        <w:spacing w:after="0" w:line="240" w:lineRule="auto"/>
        <w:ind w:left="0" w:firstLine="0"/>
        <w:rPr>
          <w:color w:val="000000" w:themeColor="text1"/>
        </w:rPr>
      </w:pPr>
    </w:p>
    <w:p w14:paraId="40096DFA" w14:textId="77777777" w:rsidR="001807D2" w:rsidRPr="008A496B" w:rsidRDefault="001807D2" w:rsidP="00A91A8D">
      <w:pPr>
        <w:spacing w:after="0" w:line="240" w:lineRule="auto"/>
        <w:ind w:left="0" w:firstLine="0"/>
        <w:rPr>
          <w:color w:val="000000" w:themeColor="text1"/>
        </w:rPr>
      </w:pPr>
    </w:p>
    <w:p w14:paraId="14AE5814" w14:textId="77777777" w:rsidR="00A91A8D" w:rsidRPr="008A496B" w:rsidRDefault="00A91A8D" w:rsidP="00A91A8D">
      <w:pPr>
        <w:spacing w:after="0" w:line="240" w:lineRule="auto"/>
        <w:ind w:left="0" w:firstLine="0"/>
        <w:rPr>
          <w:color w:val="000000" w:themeColor="text1"/>
        </w:rPr>
      </w:pPr>
    </w:p>
    <w:p w14:paraId="5EB41D3F" w14:textId="77777777" w:rsidR="00A91A8D" w:rsidRPr="008A496B" w:rsidRDefault="00A91A8D" w:rsidP="00A91A8D">
      <w:pPr>
        <w:spacing w:after="0" w:line="240" w:lineRule="auto"/>
        <w:ind w:left="0" w:firstLine="0"/>
        <w:rPr>
          <w:color w:val="000000" w:themeColor="text1"/>
        </w:rPr>
      </w:pPr>
    </w:p>
    <w:p w14:paraId="3D55A719" w14:textId="77777777" w:rsidR="00A91A8D" w:rsidRPr="008A496B" w:rsidRDefault="00A91A8D" w:rsidP="00A91A8D">
      <w:pPr>
        <w:spacing w:after="0" w:line="240" w:lineRule="auto"/>
        <w:ind w:left="0" w:firstLine="0"/>
        <w:rPr>
          <w:color w:val="000000" w:themeColor="text1"/>
        </w:rPr>
      </w:pPr>
    </w:p>
    <w:p w14:paraId="6549BB48" w14:textId="77777777" w:rsidR="00A91A8D" w:rsidRPr="008A496B" w:rsidRDefault="00A91A8D" w:rsidP="00A91A8D">
      <w:pPr>
        <w:spacing w:after="0" w:line="240" w:lineRule="auto"/>
        <w:ind w:left="0" w:firstLine="0"/>
        <w:rPr>
          <w:color w:val="000000" w:themeColor="text1"/>
        </w:rPr>
      </w:pPr>
    </w:p>
    <w:p w14:paraId="20123104" w14:textId="77777777" w:rsidR="0077658D" w:rsidRPr="008A496B" w:rsidRDefault="0077658D" w:rsidP="00A91A8D">
      <w:pPr>
        <w:spacing w:after="0" w:line="240" w:lineRule="auto"/>
        <w:ind w:left="0" w:firstLine="0"/>
        <w:rPr>
          <w:color w:val="000000" w:themeColor="text1"/>
        </w:rPr>
      </w:pPr>
    </w:p>
    <w:p w14:paraId="266B52C0" w14:textId="0FE739D1" w:rsidR="00581406" w:rsidRPr="008A496B" w:rsidRDefault="00581406" w:rsidP="008A496B">
      <w:pPr>
        <w:pStyle w:val="Heading2"/>
        <w:rPr>
          <w:rFonts w:ascii="Calibri" w:hAnsi="Calibri" w:cs="Calibri"/>
          <w:b/>
          <w:bCs/>
          <w:color w:val="000000" w:themeColor="text1"/>
        </w:rPr>
      </w:pPr>
      <w:r w:rsidRPr="008A496B">
        <w:rPr>
          <w:rFonts w:ascii="Calibri" w:hAnsi="Calibri" w:cs="Calibri"/>
          <w:b/>
          <w:bCs/>
          <w:color w:val="000000" w:themeColor="text1"/>
        </w:rPr>
        <w:t xml:space="preserve">References </w:t>
      </w:r>
    </w:p>
    <w:p w14:paraId="7E526191"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Barkley, R. A. (2020). </w:t>
      </w:r>
      <w:r w:rsidRPr="008A496B">
        <w:rPr>
          <w:i/>
          <w:iCs/>
          <w:color w:val="000000" w:themeColor="text1"/>
          <w:sz w:val="22"/>
          <w:szCs w:val="22"/>
        </w:rPr>
        <w:t>Managing ADHD in school: The best evidence-based methods for teachers</w:t>
      </w:r>
      <w:r w:rsidRPr="008A496B">
        <w:rPr>
          <w:color w:val="000000" w:themeColor="text1"/>
          <w:sz w:val="22"/>
          <w:szCs w:val="22"/>
        </w:rPr>
        <w:t>. PESI Publishing.</w:t>
      </w:r>
    </w:p>
    <w:p w14:paraId="3976055E"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Cirillo, F. (2018). </w:t>
      </w:r>
      <w:r w:rsidRPr="008A496B">
        <w:rPr>
          <w:i/>
          <w:iCs/>
          <w:color w:val="000000" w:themeColor="text1"/>
          <w:sz w:val="22"/>
          <w:szCs w:val="22"/>
        </w:rPr>
        <w:t>The Pomodoro Technique: The Acclaimed Time-Management System That Has Transformed How We Work</w:t>
      </w:r>
      <w:r w:rsidRPr="008A496B">
        <w:rPr>
          <w:color w:val="000000" w:themeColor="text1"/>
          <w:sz w:val="22"/>
          <w:szCs w:val="22"/>
        </w:rPr>
        <w:t>. Currency.</w:t>
      </w:r>
    </w:p>
    <w:p w14:paraId="7FB8AD34" w14:textId="77777777" w:rsidR="00581406" w:rsidRPr="008A496B" w:rsidRDefault="00581406" w:rsidP="00A91A8D">
      <w:pPr>
        <w:numPr>
          <w:ilvl w:val="0"/>
          <w:numId w:val="11"/>
        </w:numPr>
        <w:spacing w:after="0" w:line="240" w:lineRule="auto"/>
        <w:rPr>
          <w:color w:val="000000" w:themeColor="text1"/>
          <w:sz w:val="22"/>
          <w:szCs w:val="22"/>
        </w:rPr>
      </w:pPr>
      <w:proofErr w:type="spellStart"/>
      <w:r w:rsidRPr="008A496B">
        <w:rPr>
          <w:color w:val="000000" w:themeColor="text1"/>
          <w:sz w:val="22"/>
          <w:szCs w:val="22"/>
        </w:rPr>
        <w:t>Dunlosky</w:t>
      </w:r>
      <w:proofErr w:type="spellEnd"/>
      <w:r w:rsidRPr="008A496B">
        <w:rPr>
          <w:color w:val="000000" w:themeColor="text1"/>
          <w:sz w:val="22"/>
          <w:szCs w:val="22"/>
        </w:rPr>
        <w:t xml:space="preserve">, J., Rawson, K. A., Marsh, E. J., Nathan, M. J., &amp; Willingham, D. T. (2013). Improving students’ learning with effective learning techniques. </w:t>
      </w:r>
      <w:r w:rsidRPr="008A496B">
        <w:rPr>
          <w:i/>
          <w:iCs/>
          <w:color w:val="000000" w:themeColor="text1"/>
          <w:sz w:val="22"/>
          <w:szCs w:val="22"/>
        </w:rPr>
        <w:t>Psychological Science in the Public Interest</w:t>
      </w:r>
      <w:r w:rsidRPr="008A496B">
        <w:rPr>
          <w:color w:val="000000" w:themeColor="text1"/>
          <w:sz w:val="22"/>
          <w:szCs w:val="22"/>
        </w:rPr>
        <w:t>, 14(1), 4–58. https://doi.org/10.1177/1529100612453266</w:t>
      </w:r>
    </w:p>
    <w:p w14:paraId="6AD99DB9"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Gollwitzer, P. M., &amp; Sheeran, P. (2006). Implementation intentions and goal achievement: A meta-analysis of effects and processes. </w:t>
      </w:r>
      <w:r w:rsidRPr="008A496B">
        <w:rPr>
          <w:i/>
          <w:iCs/>
          <w:color w:val="000000" w:themeColor="text1"/>
          <w:sz w:val="22"/>
          <w:szCs w:val="22"/>
        </w:rPr>
        <w:t>Advances in Experimental Social Psychology</w:t>
      </w:r>
      <w:r w:rsidRPr="008A496B">
        <w:rPr>
          <w:color w:val="000000" w:themeColor="text1"/>
          <w:sz w:val="22"/>
          <w:szCs w:val="22"/>
        </w:rPr>
        <w:t>, 38, 69–119. https://doi.org/10.1016/S0065-2601(06)38002-1</w:t>
      </w:r>
    </w:p>
    <w:p w14:paraId="3984A989"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Killingsworth, M. A., &amp; Gilbert, D. T. (2010). A wandering mind is an unhappy mind. </w:t>
      </w:r>
      <w:r w:rsidRPr="008A496B">
        <w:rPr>
          <w:i/>
          <w:iCs/>
          <w:color w:val="000000" w:themeColor="text1"/>
          <w:sz w:val="22"/>
          <w:szCs w:val="22"/>
        </w:rPr>
        <w:t>Science</w:t>
      </w:r>
      <w:r w:rsidRPr="008A496B">
        <w:rPr>
          <w:color w:val="000000" w:themeColor="text1"/>
          <w:sz w:val="22"/>
          <w:szCs w:val="22"/>
        </w:rPr>
        <w:t>, 330(6006), 932. https://doi.org/10.1126/science.1192439</w:t>
      </w:r>
    </w:p>
    <w:p w14:paraId="3168B2D4"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Mayes, S. D., &amp; Calhoun, S. L. (2007). Learning, attention, writing, and processing speed in typical children and children with ADHD, Autism, Anxiety, Depression, and Oppositional-Defiant Disorder. </w:t>
      </w:r>
      <w:r w:rsidRPr="008A496B">
        <w:rPr>
          <w:i/>
          <w:iCs/>
          <w:color w:val="000000" w:themeColor="text1"/>
          <w:sz w:val="22"/>
          <w:szCs w:val="22"/>
        </w:rPr>
        <w:t>Child Neuropsychology</w:t>
      </w:r>
      <w:r w:rsidRPr="008A496B">
        <w:rPr>
          <w:color w:val="000000" w:themeColor="text1"/>
          <w:sz w:val="22"/>
          <w:szCs w:val="22"/>
        </w:rPr>
        <w:t>, 13(6), 469–493. https://doi.org/10.1080/09297040601112773</w:t>
      </w:r>
    </w:p>
    <w:p w14:paraId="18A1427D"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Mrazek, M. D., Franklin, M. S., Phillips, D. T., Baird, B., &amp; Schooler, J. W. (2013). Mindfulness training improves working memory capacity and GRE performance while reducing mind wandering. </w:t>
      </w:r>
      <w:r w:rsidRPr="008A496B">
        <w:rPr>
          <w:i/>
          <w:iCs/>
          <w:color w:val="000000" w:themeColor="text1"/>
          <w:sz w:val="22"/>
          <w:szCs w:val="22"/>
        </w:rPr>
        <w:t>Psychological Science</w:t>
      </w:r>
      <w:r w:rsidRPr="008A496B">
        <w:rPr>
          <w:color w:val="000000" w:themeColor="text1"/>
          <w:sz w:val="22"/>
          <w:szCs w:val="22"/>
        </w:rPr>
        <w:t>, 24(5), 776–781. https://doi.org/10.1177/0956797612459659</w:t>
      </w:r>
    </w:p>
    <w:p w14:paraId="7D807638" w14:textId="77777777" w:rsidR="00581406" w:rsidRPr="008A496B" w:rsidRDefault="00581406" w:rsidP="00A91A8D">
      <w:pPr>
        <w:numPr>
          <w:ilvl w:val="0"/>
          <w:numId w:val="11"/>
        </w:numPr>
        <w:spacing w:after="0" w:line="240" w:lineRule="auto"/>
        <w:rPr>
          <w:color w:val="000000" w:themeColor="text1"/>
          <w:sz w:val="22"/>
          <w:szCs w:val="22"/>
        </w:rPr>
      </w:pPr>
      <w:r w:rsidRPr="008A496B">
        <w:rPr>
          <w:color w:val="000000" w:themeColor="text1"/>
          <w:sz w:val="22"/>
          <w:szCs w:val="22"/>
        </w:rPr>
        <w:t xml:space="preserve">Risko, E. F., &amp; Gilbert, S. J. (2016). Cognitive offloading. </w:t>
      </w:r>
      <w:r w:rsidRPr="008A496B">
        <w:rPr>
          <w:i/>
          <w:iCs/>
          <w:color w:val="000000" w:themeColor="text1"/>
          <w:sz w:val="22"/>
          <w:szCs w:val="22"/>
        </w:rPr>
        <w:t>Trends in Cognitive Sciences</w:t>
      </w:r>
      <w:r w:rsidRPr="008A496B">
        <w:rPr>
          <w:color w:val="000000" w:themeColor="text1"/>
          <w:sz w:val="22"/>
          <w:szCs w:val="22"/>
        </w:rPr>
        <w:t>, 20(9), 676–688. https://doi.org/10.1016/j.tics.2016.07.002</w:t>
      </w:r>
    </w:p>
    <w:p w14:paraId="2ECA3D7C" w14:textId="4E6D712A" w:rsidR="00303EF6" w:rsidRPr="008A496B" w:rsidRDefault="00303EF6" w:rsidP="00A91A8D">
      <w:pPr>
        <w:spacing w:after="0" w:line="240" w:lineRule="auto"/>
        <w:ind w:left="0" w:firstLine="0"/>
        <w:rPr>
          <w:color w:val="000000" w:themeColor="text1"/>
          <w:sz w:val="22"/>
          <w:szCs w:val="22"/>
        </w:rPr>
      </w:pPr>
    </w:p>
    <w:sectPr w:rsidR="00303EF6" w:rsidRPr="008A496B" w:rsidSect="002160AE">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897D" w14:textId="77777777" w:rsidR="001A0B7E" w:rsidRDefault="001A0B7E" w:rsidP="001807D2">
      <w:pPr>
        <w:spacing w:after="0" w:line="240" w:lineRule="auto"/>
      </w:pPr>
      <w:r>
        <w:separator/>
      </w:r>
    </w:p>
  </w:endnote>
  <w:endnote w:type="continuationSeparator" w:id="0">
    <w:p w14:paraId="18C72DBC" w14:textId="77777777" w:rsidR="001A0B7E" w:rsidRDefault="001A0B7E" w:rsidP="0018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1395" w14:textId="30F65F39" w:rsidR="001807D2" w:rsidRDefault="001807D2" w:rsidP="001807D2">
    <w:pPr>
      <w:pStyle w:val="Footer"/>
      <w:jc w:val="right"/>
    </w:pPr>
    <w:r>
      <w:t>Updated: 2025</w:t>
    </w:r>
  </w:p>
  <w:p w14:paraId="01C507AF" w14:textId="77777777" w:rsidR="001807D2" w:rsidRDefault="00180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2201" w14:textId="77777777" w:rsidR="001A0B7E" w:rsidRDefault="001A0B7E" w:rsidP="001807D2">
      <w:pPr>
        <w:spacing w:after="0" w:line="240" w:lineRule="auto"/>
      </w:pPr>
      <w:r>
        <w:separator/>
      </w:r>
    </w:p>
  </w:footnote>
  <w:footnote w:type="continuationSeparator" w:id="0">
    <w:p w14:paraId="25AA3073" w14:textId="77777777" w:rsidR="001A0B7E" w:rsidRDefault="001A0B7E" w:rsidP="0018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4D04" w14:textId="4E4A5198" w:rsidR="00BE6D8B" w:rsidRDefault="00BE6D8B">
    <w:pPr>
      <w:pStyle w:val="Header"/>
    </w:pPr>
    <w:r>
      <w:rPr>
        <w:noProof/>
      </w:rPr>
      <w:drawing>
        <wp:inline distT="0" distB="0" distL="0" distR="0" wp14:anchorId="70FA283F" wp14:editId="448990D3">
          <wp:extent cx="6507480" cy="617220"/>
          <wp:effectExtent l="0" t="0" r="7620" b="0"/>
          <wp:docPr id="349976170" name="Picture 1" descr="Group 1290,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oup 1290, Grouped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7480" cy="617220"/>
                  </a:xfrm>
                  <a:prstGeom prst="rect">
                    <a:avLst/>
                  </a:prstGeom>
                  <a:noFill/>
                  <a:ln>
                    <a:noFill/>
                  </a:ln>
                </pic:spPr>
              </pic:pic>
            </a:graphicData>
          </a:graphic>
        </wp:inline>
      </w:drawing>
    </w:r>
  </w:p>
  <w:p w14:paraId="555CE615" w14:textId="77777777" w:rsidR="00BE6D8B" w:rsidRDefault="00BE6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6CC"/>
    <w:multiLevelType w:val="multilevel"/>
    <w:tmpl w:val="33A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65F41"/>
    <w:multiLevelType w:val="multilevel"/>
    <w:tmpl w:val="0BBC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F3758"/>
    <w:multiLevelType w:val="multilevel"/>
    <w:tmpl w:val="D4DC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658FA"/>
    <w:multiLevelType w:val="multilevel"/>
    <w:tmpl w:val="8FBA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D2553"/>
    <w:multiLevelType w:val="hybridMultilevel"/>
    <w:tmpl w:val="1ECCC74C"/>
    <w:lvl w:ilvl="0" w:tplc="4EC43C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D2EE5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90182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AE4E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AE309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A3D9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ACD39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0DFB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4CAC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96175D"/>
    <w:multiLevelType w:val="multilevel"/>
    <w:tmpl w:val="15F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8565E"/>
    <w:multiLevelType w:val="multilevel"/>
    <w:tmpl w:val="3A0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77DD5"/>
    <w:multiLevelType w:val="multilevel"/>
    <w:tmpl w:val="5C60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B331A"/>
    <w:multiLevelType w:val="multilevel"/>
    <w:tmpl w:val="3E5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67DCE"/>
    <w:multiLevelType w:val="multilevel"/>
    <w:tmpl w:val="13C0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A7735"/>
    <w:multiLevelType w:val="multilevel"/>
    <w:tmpl w:val="1A4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593358">
    <w:abstractNumId w:val="4"/>
  </w:num>
  <w:num w:numId="2" w16cid:durableId="559052654">
    <w:abstractNumId w:val="0"/>
  </w:num>
  <w:num w:numId="3" w16cid:durableId="704447739">
    <w:abstractNumId w:val="10"/>
  </w:num>
  <w:num w:numId="4" w16cid:durableId="1215120594">
    <w:abstractNumId w:val="5"/>
  </w:num>
  <w:num w:numId="5" w16cid:durableId="1510413021">
    <w:abstractNumId w:val="9"/>
  </w:num>
  <w:num w:numId="6" w16cid:durableId="547841603">
    <w:abstractNumId w:val="6"/>
  </w:num>
  <w:num w:numId="7" w16cid:durableId="668405482">
    <w:abstractNumId w:val="8"/>
  </w:num>
  <w:num w:numId="8" w16cid:durableId="2071266090">
    <w:abstractNumId w:val="7"/>
  </w:num>
  <w:num w:numId="9" w16cid:durableId="1009022597">
    <w:abstractNumId w:val="1"/>
  </w:num>
  <w:num w:numId="10" w16cid:durableId="1760062701">
    <w:abstractNumId w:val="2"/>
  </w:num>
  <w:num w:numId="11" w16cid:durableId="390467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F6"/>
    <w:rsid w:val="001807D2"/>
    <w:rsid w:val="001A0B7E"/>
    <w:rsid w:val="002160AE"/>
    <w:rsid w:val="00303EF6"/>
    <w:rsid w:val="00581406"/>
    <w:rsid w:val="006A15DE"/>
    <w:rsid w:val="006A4979"/>
    <w:rsid w:val="0077658D"/>
    <w:rsid w:val="007A782B"/>
    <w:rsid w:val="007C070F"/>
    <w:rsid w:val="008A496B"/>
    <w:rsid w:val="00931C41"/>
    <w:rsid w:val="00A91A8D"/>
    <w:rsid w:val="00BE6D8B"/>
    <w:rsid w:val="00BF179D"/>
    <w:rsid w:val="00D559BF"/>
    <w:rsid w:val="00FB4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287B"/>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8A496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8A496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79D"/>
    <w:rPr>
      <w:rFonts w:ascii="Times New Roman" w:hAnsi="Times New Roman" w:cs="Times New Roman"/>
    </w:rPr>
  </w:style>
  <w:style w:type="paragraph" w:styleId="Header">
    <w:name w:val="header"/>
    <w:basedOn w:val="Normal"/>
    <w:link w:val="HeaderChar"/>
    <w:uiPriority w:val="99"/>
    <w:unhideWhenUsed/>
    <w:rsid w:val="00180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7D2"/>
    <w:rPr>
      <w:rFonts w:ascii="Calibri" w:eastAsia="Calibri" w:hAnsi="Calibri" w:cs="Calibri"/>
      <w:color w:val="000000"/>
    </w:rPr>
  </w:style>
  <w:style w:type="paragraph" w:styleId="Footer">
    <w:name w:val="footer"/>
    <w:basedOn w:val="Normal"/>
    <w:link w:val="FooterChar"/>
    <w:uiPriority w:val="99"/>
    <w:unhideWhenUsed/>
    <w:rsid w:val="0018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7D2"/>
    <w:rPr>
      <w:rFonts w:ascii="Calibri" w:eastAsia="Calibri" w:hAnsi="Calibri" w:cs="Calibri"/>
      <w:color w:val="000000"/>
    </w:rPr>
  </w:style>
  <w:style w:type="paragraph" w:styleId="Title">
    <w:name w:val="Title"/>
    <w:basedOn w:val="Normal"/>
    <w:next w:val="Normal"/>
    <w:link w:val="TitleChar"/>
    <w:uiPriority w:val="10"/>
    <w:qFormat/>
    <w:rsid w:val="00931C4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31C4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496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8A496B"/>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860322535">
      <w:bodyDiv w:val="1"/>
      <w:marLeft w:val="0"/>
      <w:marRight w:val="0"/>
      <w:marTop w:val="0"/>
      <w:marBottom w:val="0"/>
      <w:divBdr>
        <w:top w:val="none" w:sz="0" w:space="0" w:color="auto"/>
        <w:left w:val="none" w:sz="0" w:space="0" w:color="auto"/>
        <w:bottom w:val="none" w:sz="0" w:space="0" w:color="auto"/>
        <w:right w:val="none" w:sz="0" w:space="0" w:color="auto"/>
      </w:divBdr>
    </w:div>
    <w:div w:id="1851871698">
      <w:bodyDiv w:val="1"/>
      <w:marLeft w:val="0"/>
      <w:marRight w:val="0"/>
      <w:marTop w:val="0"/>
      <w:marBottom w:val="0"/>
      <w:divBdr>
        <w:top w:val="none" w:sz="0" w:space="0" w:color="auto"/>
        <w:left w:val="none" w:sz="0" w:space="0" w:color="auto"/>
        <w:bottom w:val="none" w:sz="0" w:space="0" w:color="auto"/>
        <w:right w:val="none" w:sz="0" w:space="0" w:color="auto"/>
      </w:divBdr>
    </w:div>
    <w:div w:id="212665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565CEBAC-7298-4805-AC6D-FB19EDC0D93C}"/>
</file>

<file path=customXml/itemProps2.xml><?xml version="1.0" encoding="utf-8"?>
<ds:datastoreItem xmlns:ds="http://schemas.openxmlformats.org/officeDocument/2006/customXml" ds:itemID="{67155382-F8E1-45C6-AC4C-87786CE65171}"/>
</file>

<file path=customXml/itemProps3.xml><?xml version="1.0" encoding="utf-8"?>
<ds:datastoreItem xmlns:ds="http://schemas.openxmlformats.org/officeDocument/2006/customXml" ds:itemID="{6492D63B-EEF5-48B0-ADC1-CE6BF8103C99}"/>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2025-07-22T18:33:00Z</dcterms:created>
  <dcterms:modified xsi:type="dcterms:W3CDTF">2025-07-22T18:33:00Z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